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40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2 ноября 2023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-1065891014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закона «об иностранных представителях» принят Жогорку Кенешем в первом чтении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Закона КР «О признании утратившим силу Закона Кыргызской Республики «Об общественных советах государственных органов»» и проект конституционного Закона «О внесении изменения в конституционный Закон Кыргызской Республики «О Кабинете Министров Кыргызской Республики» одобрен во втором чтении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Венецианская комиссия раскритиковала новую редакцию проекта закона о СМИ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Министерство культуры, информации, спорта и молодежной политики объявляет  конкурс на финансирование общественно полезных проектов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C">
      <w:pPr>
        <w:pStyle w:val="Heading3"/>
        <w:spacing w:after="240" w:before="0" w:line="276" w:lineRule="auto"/>
        <w:ind w:left="644" w:firstLine="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1" w:rightFromText="181" w:topFromText="0" w:bottomFromText="0" w:vertAnchor="text" w:horzAnchor="text" w:tblpX="0" w:tblpY="0"/>
        <w:tblW w:w="9892.0" w:type="dxa"/>
        <w:jc w:val="left"/>
        <w:tblBorders>
          <w:top w:color="4472c4" w:space="0" w:sz="6" w:val="dashed"/>
          <w:left w:color="4472c4" w:space="0" w:sz="6" w:val="dashed"/>
          <w:bottom w:color="4472c4" w:space="0" w:sz="6" w:val="dashed"/>
          <w:right w:color="4472c4" w:space="0" w:sz="6" w:val="dashed"/>
          <w:insideH w:color="4472c4" w:space="0" w:sz="6" w:val="dashed"/>
          <w:insideV w:color="4472c4" w:space="0" w:sz="6" w:val="dashed"/>
        </w:tblBorders>
        <w:tblLayout w:type="fixed"/>
        <w:tblLook w:val="0400"/>
      </w:tblPr>
      <w:tblGrid>
        <w:gridCol w:w="9892"/>
        <w:tblGridChange w:id="0">
          <w:tblGrid>
            <w:gridCol w:w="9892"/>
          </w:tblGrid>
        </w:tblGridChange>
      </w:tblGrid>
      <w:tr>
        <w:trPr>
          <w:cantSplit w:val="0"/>
          <w:trHeight w:val="139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872"/>
                <w:tab w:val="center" w:leader="none" w:pos="4613"/>
              </w:tabs>
              <w:spacing w:after="120" w:line="276" w:lineRule="auto"/>
              <w:ind w:firstLine="0"/>
              <w:jc w:val="center"/>
              <w:rPr>
                <w:rFonts w:ascii="Cambria" w:cs="Cambria" w:eastAsia="Cambria" w:hAnsi="Cambria"/>
                <w:b w:val="1"/>
                <w:bCs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4472c4"/>
                <w:sz w:val="22"/>
                <w:szCs w:val="22"/>
                <w:rtl w:val="0"/>
              </w:rPr>
              <w:t xml:space="preserve">Уважаемые</w:t>
            </w:r>
            <w:r w:rsidDel="00000000" w:rsidR="00000000" w:rsidRPr="00000000">
              <w:rPr>
                <w:rFonts w:ascii="Cambria" w:cs="Cambria" w:eastAsia="Cambria" w:hAnsi="Cambria"/>
                <w:color w:val="4472c4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4472c4"/>
                <w:sz w:val="22"/>
                <w:szCs w:val="22"/>
                <w:rtl w:val="0"/>
              </w:rPr>
              <w:t xml:space="preserve">коллеги,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872"/>
                <w:tab w:val="center" w:leader="none" w:pos="4613"/>
              </w:tabs>
              <w:spacing w:after="120" w:line="276" w:lineRule="auto"/>
              <w:ind w:firstLine="720"/>
              <w:jc w:val="left"/>
              <w:rPr>
                <w:rFonts w:ascii="Cambria" w:cs="Cambria" w:eastAsia="Cambria" w:hAnsi="Cambria"/>
                <w:b w:val="1"/>
                <w:bCs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4472c4"/>
                <w:sz w:val="22"/>
                <w:szCs w:val="22"/>
                <w:rtl w:val="0"/>
              </w:rPr>
              <w:t xml:space="preserve">Международный центр некоммерческого права (ICNL, LLC) запустил мобильное приложение NGO Kyrgyzstan. Все выпуски информационного бюллетеня</w:t>
            </w:r>
            <w:r w:rsidDel="00000000" w:rsidR="00000000" w:rsidRPr="00000000">
              <w:rPr>
                <w:rFonts w:ascii="Cambria" w:cs="Cambria" w:eastAsia="Cambria" w:hAnsi="Cambria"/>
                <w:color w:val="4472c4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mbria" w:cs="Cambria" w:eastAsia="Cambria" w:hAnsi="Cambria"/>
                <w:color w:val="4472c4"/>
                <w:sz w:val="22"/>
                <w:szCs w:val="22"/>
                <w:rtl w:val="0"/>
              </w:rPr>
              <w:t xml:space="preserve"> и много другой полезной информации для организаций гражданского общества доступны через мобильное приложение. Скачать приложение на мобильный телефон можно через 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b w:val="1"/>
                  <w:bCs w:val="1"/>
                  <w:color w:val="2e75b5"/>
                  <w:sz w:val="22"/>
                  <w:szCs w:val="22"/>
                  <w:u w:val="single"/>
                  <w:rtl w:val="0"/>
                </w:rPr>
                <w:t xml:space="preserve">AppStore</w:t>
              </w:r>
            </w:hyperlink>
            <w:r w:rsidDel="00000000" w:rsidR="00000000" w:rsidRPr="00000000">
              <w:rPr>
                <w:rFonts w:ascii="Cambria" w:cs="Cambria" w:eastAsia="Cambria" w:hAnsi="Cambria"/>
                <w:color w:val="4472c4"/>
                <w:sz w:val="22"/>
                <w:szCs w:val="22"/>
                <w:u w:val="single"/>
                <w:rtl w:val="0"/>
              </w:rPr>
              <w:t xml:space="preserve">App Store </w:t>
            </w:r>
            <w:r w:rsidDel="00000000" w:rsidR="00000000" w:rsidRPr="00000000">
              <w:rPr>
                <w:rFonts w:ascii="Cambria" w:cs="Cambria" w:eastAsia="Cambria" w:hAnsi="Cambria"/>
                <w:color w:val="4472c4"/>
                <w:sz w:val="22"/>
                <w:szCs w:val="22"/>
                <w:rtl w:val="0"/>
              </w:rPr>
              <w:t xml:space="preserve">и </w:t>
            </w:r>
            <w:hyperlink r:id="rId9">
              <w:r w:rsidDel="00000000" w:rsidR="00000000" w:rsidRPr="00000000">
                <w:rPr>
                  <w:rFonts w:ascii="Cambria" w:cs="Cambria" w:eastAsia="Cambria" w:hAnsi="Cambria"/>
                  <w:b w:val="1"/>
                  <w:bCs w:val="1"/>
                  <w:color w:val="4472c4"/>
                  <w:sz w:val="22"/>
                  <w:szCs w:val="22"/>
                  <w:u w:val="single"/>
                  <w:rtl w:val="0"/>
                </w:rPr>
                <w:t xml:space="preserve">Google Play</w:t>
              </w:r>
            </w:hyperlink>
            <w:r w:rsidDel="00000000" w:rsidR="00000000" w:rsidRPr="00000000">
              <w:rPr>
                <w:rFonts w:ascii="Cambria" w:cs="Cambria" w:eastAsia="Cambria" w:hAnsi="Cambria"/>
                <w:color w:val="4472c4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numPr>
          <w:ilvl w:val="0"/>
          <w:numId w:val="1"/>
        </w:numPr>
        <w:spacing w:after="24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Проект закона «об иностранных представителях» принят Жогорку Кенешем в первом чтении</w:t>
      </w:r>
    </w:p>
    <w:p w:rsidR="00000000" w:rsidDel="00000000" w:rsidP="00000000" w:rsidRDefault="00000000" w:rsidRPr="00000000" w14:paraId="00000015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17 октября 2023 года состоялись парламентские общественные слушания по проекту Закона КР «О внесении изменений в некоторые законодательные акты Кыргызской Республики (Закон Кыргызской Республики «О некоммерческих организациях», Уголовный кодекс Кыргызской Республики»)» (далее – законопроект). В ходе парламентских общественных слушаний большинство участников (в том числе Руководитель миссии ООН в Кыргызской Республике, представитель ОБСЕ/БДИПЧ, представители ОГО) выступили против принятия законопроекта, три участника поддержали законопроект. Депутат Жогорку Кенеша Гуля Кожокулова отметила, что законопроект требует проведения правовой и правозащитной экспертизы. Депутат Жогорку Кенеша Эмиль Токтошев сказал, что принятие данного законопроекта негативно повлияет на международный имидж Кыргызской Республики. Представители Генеральной прокуратуры и Верховного суда выступили против предлагаемых для включения в Уголовный кодекс новых норм об уголовной ответственности представителей НКО. Представитель Кабинета Министров сказал, что в своем Заключении Кабинет Министров обозначил недостатки законопроекта, но тем не менее поддерживает концепцию законопроекта.</w:t>
      </w: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highlight w:val="white"/>
          <w:rtl w:val="0"/>
        </w:rPr>
        <w:t xml:space="preserve"> Ознакомиться с полным текстом Заключения Кабинета Министров по законопроекту можно </w:t>
      </w:r>
      <w:hyperlink r:id="rId1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highlight w:val="white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Видеозапись парламентских общественных слушаний можно увидеть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здесь.</w:t>
        </w:r>
      </w:hyperlink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highlight w:val="yellow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25 октября 2023 года Жогорку Кенеш в режиме первого чтения рассмотрел и одобрил законопроект. В ходе обсуждения Торага Жогорку Кенеша Нурланбек Шакиев предложил передать инициаторам вопросы, предложения, комментарии по законопроекту в письменном виде и проголосовать по законопроекту без обсуждения. Депутат Жогорку Кенеша Гуля Кожокулова выступила с заявлением, что концепция законопроекта опасна и призвала коллег не голосовать за предложенный законопроект. В ходе голосования 52 депутата проголосовали - за, 7 – против принятия законопроекта. Тем самым законопроект был принят в первом чтении. </w:t>
      </w:r>
    </w:p>
    <w:p w:rsidR="00000000" w:rsidDel="00000000" w:rsidP="00000000" w:rsidRDefault="00000000" w:rsidRPr="00000000" w14:paraId="00000017">
      <w:pPr>
        <w:spacing w:after="160" w:line="276" w:lineRule="auto"/>
        <w:ind w:firstLine="709"/>
        <w:jc w:val="both"/>
        <w:rPr>
          <w:rFonts w:ascii="Cambria" w:cs="Cambria" w:eastAsia="Cambria" w:hAnsi="Cambria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highlight w:val="white"/>
          <w:rtl w:val="0"/>
        </w:rPr>
        <w:t xml:space="preserve">Согласно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highlight w:val="white"/>
            <w:u w:val="single"/>
            <w:rtl w:val="0"/>
          </w:rPr>
          <w:t xml:space="preserve">статье 151 Закона «О Регламенте Жогорку Кенеша Кыргызской Республики»</w:t>
        </w:r>
      </w:hyperlink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highlight w:val="white"/>
          <w:rtl w:val="0"/>
        </w:rPr>
        <w:t xml:space="preserve"> ко второму чтению в срок, указанный в постановлении о принятии проекта закона в первом чтении, представители организаций гражданского общества, эксперты и другие заинтересованные стороны вправе вносить предложения в Жогорку Кенеш через депутатов или субъектов права законодательной инициативы.</w:t>
      </w:r>
    </w:p>
    <w:p w:rsidR="00000000" w:rsidDel="00000000" w:rsidP="00000000" w:rsidRDefault="00000000" w:rsidRPr="00000000" w14:paraId="00000018">
      <w:pPr>
        <w:spacing w:after="160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С текстом законопроекта и справкой-обоснованием к нему можно ознакомиться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numPr>
          <w:ilvl w:val="0"/>
          <w:numId w:val="1"/>
        </w:numPr>
        <w:spacing w:after="24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Проект Закона КР «О признании утратившим силу Закона Кыргызской Республики «Об общественных советах государственных органов»» и проект конституционного Закона «О внесении изменения в конституционный Закон Кыргызской Республики «О Кабинете Министров Кыргызской Республики» одобрен во втором чтении</w:t>
      </w:r>
    </w:p>
    <w:p w:rsidR="00000000" w:rsidDel="00000000" w:rsidP="00000000" w:rsidRDefault="00000000" w:rsidRPr="00000000" w14:paraId="0000001B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25 октября 2023 года Жогорку Кенеш в режиме второго чтения одобрил проект Закона КР «О признании утратившим силу Закона Кыргызской Республики «Об общественных советах государственных органов»» и проект конституционного Закона «О внесении изменения в конституционный Закон Кыргызской Республики «О Кабинете Министров Кыргызской Республики»». Инициатором законопроекта выступает Кабинет Министров.</w:t>
      </w:r>
    </w:p>
    <w:p w:rsidR="00000000" w:rsidDel="00000000" w:rsidP="00000000" w:rsidRDefault="00000000" w:rsidRPr="00000000" w14:paraId="0000001C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Концепция законопроекта направлена на упразднение общественных советов при министерствах, государственных комитетах и иных органах исполнительной власти. Это аргументировано тем, что данный институт не является единственной возможностью участия гражданского общества в работе государственных органов. Инициаторы считают, что законодательством предусмотрено достаточно механизмов участия представителей гражданского общества в формировании и реализации государственной политики и институт общественных советов государственных органов на сегодняшний день является излишним.</w:t>
      </w:r>
    </w:p>
    <w:p w:rsidR="00000000" w:rsidDel="00000000" w:rsidP="00000000" w:rsidRDefault="00000000" w:rsidRPr="00000000" w14:paraId="0000001D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Напомним, что ранее члены общественных советов при государственных органах и представители ОГО направили Президенту Кыргызской Республики </w:t>
      </w:r>
      <w:hyperlink r:id="rId15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Обращение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с просьбой наложить вето на проекты данных законов. В своем обращении они отметили, что «на общественные советы возложены две функции: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консультативная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когда даются рекомендации министерствам и ведомствам по улучшению их работы, предлагаются альтернативные пути решения существующих в обществе проблем и достижения общественно-полезных целей, и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наблюдательная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когда осуществляется мониторинг за целевым использованием министерствами и ведомствами бюджетных и иных средств, проведением тендеров, конкурсов и других мероприятий в соответствии с законодательством Кыргызстана. Институт общественных советов является одним из эффективных антикоррупционных механизмов, применяемых в большинстве стран мира».</w:t>
      </w:r>
    </w:p>
    <w:p w:rsidR="00000000" w:rsidDel="00000000" w:rsidP="00000000" w:rsidRDefault="00000000" w:rsidRPr="00000000" w14:paraId="0000001E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ОГО могут ознакомиться с проектами законов 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 </w:t>
      </w:r>
      <w:hyperlink r:id="rId1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numPr>
          <w:ilvl w:val="0"/>
          <w:numId w:val="1"/>
        </w:numPr>
        <w:spacing w:after="24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Венецианская комиссия раскритиковала новую редакцию проекта закона о СМИ</w:t>
      </w:r>
    </w:p>
    <w:p w:rsidR="00000000" w:rsidDel="00000000" w:rsidP="00000000" w:rsidRDefault="00000000" w:rsidRPr="00000000" w14:paraId="00000021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Венецианская комиссия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Европейская комиссия за демократию через право) по запросу Института Акыйкатчы (Омбудсмена) и Министра юстиции провела анализ проекта Закона КР «О средствах массовой информации», предложенного Администрацией Президента в 2022 году, который подвергся резкой критике со стороны представителей независимых СМИ и экспертного сообщества.</w:t>
      </w:r>
    </w:p>
    <w:p w:rsidR="00000000" w:rsidDel="00000000" w:rsidP="00000000" w:rsidRDefault="00000000" w:rsidRPr="00000000" w14:paraId="00000022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Венецианской комиссии считают, что в законопроекте должны соблюдаться требования  </w:t>
      </w:r>
      <w:hyperlink r:id="rId1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статьи 19 Международного пакта о гражданских и политических правах</w:t>
        </w:r>
      </w:hyperlink>
      <w:r w:rsidDel="00000000" w:rsidR="00000000" w:rsidRPr="00000000">
        <w:rPr>
          <w:rFonts w:ascii="Cambria" w:cs="Cambria" w:eastAsia="Cambria" w:hAnsi="Cambria"/>
          <w:color w:val="0563c1"/>
          <w:sz w:val="22"/>
          <w:szCs w:val="22"/>
          <w:u w:val="single"/>
          <w:rtl w:val="0"/>
        </w:rPr>
        <w:t xml:space="preserve"> (МПГПП)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к которому Кыргызская Республика присоединилась в 1994 году. Согласно статье 19 МПГПП,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2"/>
          <w:szCs w:val="22"/>
          <w:rtl w:val="0"/>
        </w:rPr>
        <w:t xml:space="preserve">каждый человек имеет право на свободное выражение своего мнения; это право включает свободу искать, получать и распространять всякого рода информацию и идеи, независимо от государственных границ, устно, письменно или посредством печати, или художественных форм выражения или иными способами по своему выбору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 Ранее такое же заявление сделали и представители Организации Объединенных Наций. Венецианская комиссия подчеркивает, что соотношение между правом и ограничением, а также между нормой и исключением не должно быть перевернутым.</w:t>
      </w:r>
    </w:p>
    <w:p w:rsidR="00000000" w:rsidDel="00000000" w:rsidP="00000000" w:rsidRDefault="00000000" w:rsidRPr="00000000" w14:paraId="00000023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Венецианская комиссия представила рекомендации по отдельным статьям законопроекта с которыми можно ознакомиться </w:t>
      </w:r>
      <w:hyperlink r:id="rId1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16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Кроме того, </w:t>
      </w:r>
      <w:hyperlink r:id="rId20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31 октября текущего года в ходе технических консультациях по новой редакции проекта Закона «О средствах массовой информации» Институт Акыйкатчы (Омбудсмена) провел презентацию анализа по законопроекту.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Анализ касался норм законопроекта в части соблюдения прав и свобод человека согласно общепризнанным принципам и международному праву. Как отметила Акыйкатчы (Омбудсмен) Кыргызской Республики Джамиля Джаманбаева, основной целью при проведении анализа стало доведение до органов законодательной и исполнительной ветвей власти и гражданского общества информации и проведение обзора ситуации, касающейся соблюдения принятых государством обязательств по свободе мысли и выражения мнений в Кыргызской Республике. Институт Акыйкатчы (Омбусдмена), по итогам анализа, руководствуясь статьями 3 и 8</w:t>
      </w:r>
      <w:r w:rsidDel="00000000" w:rsidR="00000000" w:rsidRPr="00000000">
        <w:rPr>
          <w:rFonts w:ascii="Cambria" w:cs="Cambria" w:eastAsia="Cambria" w:hAnsi="Cambria"/>
          <w:sz w:val="22"/>
          <w:szCs w:val="22"/>
          <w:vertAlign w:val="superscript"/>
          <w:rtl w:val="0"/>
        </w:rPr>
        <w:t xml:space="preserve">-1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hyperlink r:id="rId2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Закона «Об Акыйкатчы (Омбудсмене) Кыргызской Республики»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предлагает доработать проект Закона «О средствах массовой информации». Кроме того, институт настаивает на необходимости обеспечения свободы слова и соблюдения прав и свобод человека. С рекомендациями Института Акыйкатчы (Омбудсмена) можно ознакомиться </w:t>
      </w:r>
      <w:hyperlink r:id="rId2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здесь.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numPr>
          <w:ilvl w:val="0"/>
          <w:numId w:val="1"/>
        </w:numPr>
        <w:spacing w:after="240" w:before="0" w:line="276" w:lineRule="auto"/>
        <w:ind w:left="1134" w:hanging="360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Министерство культуры, информации, спорта и молодежной политики объявляет  конкурс на финансирование общественно полезных проектов</w:t>
      </w:r>
    </w:p>
    <w:p w:rsidR="00000000" w:rsidDel="00000000" w:rsidP="00000000" w:rsidRDefault="00000000" w:rsidRPr="00000000" w14:paraId="00000027">
      <w:pPr>
        <w:spacing w:after="160" w:line="276" w:lineRule="auto"/>
        <w:ind w:firstLine="644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 октября 2023 года Министерство культуры, информации, спорта и молодежной политики КР объявило конкурс на финансирование общественно полезных проектов.</w:t>
      </w:r>
    </w:p>
    <w:p w:rsidR="00000000" w:rsidDel="00000000" w:rsidP="00000000" w:rsidRDefault="00000000" w:rsidRPr="00000000" w14:paraId="00000028">
      <w:pPr>
        <w:spacing w:after="160" w:line="276" w:lineRule="auto"/>
        <w:ind w:firstLine="644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Основной целью конкурса является культурное и творческое развитие, обучение молодежи экологическим принципам, трудоустройство молодежи, гражданское участие, социализация молодежи, обучение молодежи цифровой грамотности. </w:t>
      </w:r>
    </w:p>
    <w:p w:rsidR="00000000" w:rsidDel="00000000" w:rsidP="00000000" w:rsidRDefault="00000000" w:rsidRPr="00000000" w14:paraId="00000029">
      <w:pPr>
        <w:spacing w:line="276" w:lineRule="auto"/>
        <w:ind w:firstLine="646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Ниже перечислены темы конкурсных программ:</w:t>
      </w:r>
    </w:p>
    <w:p w:rsidR="00000000" w:rsidDel="00000000" w:rsidP="00000000" w:rsidRDefault="00000000" w:rsidRPr="00000000" w14:paraId="0000002A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1) Поддержка молодежных центров</w:t>
      </w:r>
    </w:p>
    <w:p w:rsidR="00000000" w:rsidDel="00000000" w:rsidP="00000000" w:rsidRDefault="00000000" w:rsidRPr="00000000" w14:paraId="0000002B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2) Социокультурные проекты</w:t>
      </w:r>
    </w:p>
    <w:p w:rsidR="00000000" w:rsidDel="00000000" w:rsidP="00000000" w:rsidRDefault="00000000" w:rsidRPr="00000000" w14:paraId="0000002C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3) Поддержка инклюзивной культуры</w:t>
      </w:r>
    </w:p>
    <w:p w:rsidR="00000000" w:rsidDel="00000000" w:rsidP="00000000" w:rsidRDefault="00000000" w:rsidRPr="00000000" w14:paraId="0000002D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4) Проекты по снижению потребления и вторичной переработке</w:t>
      </w:r>
    </w:p>
    <w:p w:rsidR="00000000" w:rsidDel="00000000" w:rsidP="00000000" w:rsidRDefault="00000000" w:rsidRPr="00000000" w14:paraId="0000002E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5) Создание молодежных предприятий</w:t>
      </w:r>
    </w:p>
    <w:p w:rsidR="00000000" w:rsidDel="00000000" w:rsidP="00000000" w:rsidRDefault="00000000" w:rsidRPr="00000000" w14:paraId="0000002F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6) Молодежные инициативы на местном уровне</w:t>
      </w:r>
    </w:p>
    <w:p w:rsidR="00000000" w:rsidDel="00000000" w:rsidP="00000000" w:rsidRDefault="00000000" w:rsidRPr="00000000" w14:paraId="00000030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7) Молодежные медиа и коммуникационные проекты</w:t>
      </w:r>
    </w:p>
    <w:p w:rsidR="00000000" w:rsidDel="00000000" w:rsidP="00000000" w:rsidRDefault="00000000" w:rsidRPr="00000000" w14:paraId="00000031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8) Волонтерские проекты</w:t>
      </w:r>
    </w:p>
    <w:p w:rsidR="00000000" w:rsidDel="00000000" w:rsidP="00000000" w:rsidRDefault="00000000" w:rsidRPr="00000000" w14:paraId="00000032">
      <w:pPr>
        <w:spacing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9) Технологические курсы и воркшопы</w:t>
      </w:r>
    </w:p>
    <w:p w:rsidR="00000000" w:rsidDel="00000000" w:rsidP="00000000" w:rsidRDefault="00000000" w:rsidRPr="00000000" w14:paraId="00000033">
      <w:pPr>
        <w:spacing w:after="160" w:line="276" w:lineRule="auto"/>
        <w:ind w:left="648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10) Цифровое образование и платформы</w:t>
      </w:r>
    </w:p>
    <w:p w:rsidR="00000000" w:rsidDel="00000000" w:rsidP="00000000" w:rsidRDefault="00000000" w:rsidRPr="00000000" w14:paraId="00000034">
      <w:pPr>
        <w:spacing w:after="160" w:line="276" w:lineRule="auto"/>
        <w:ind w:firstLine="644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Максимальная сумма гранта 1 000 000 сомов. Участниками конкурса могут быть НКО (за исключением политических партий), которые осуществляют деятельность в сферах, предусмотренных статьей </w:t>
      </w:r>
      <w:hyperlink r:id="rId2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5 Закона КР «О государственном социальном заказе»,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имеют опыт работы не менее одного года в сфере объявленной темы конкурса, не имеют задолженности по налогам и страховым взносам по государственному социальному страхованию. Несколько НКО могут сформировать проектную группу (консорциум) на договорной основе и представить общее заявление и проектное предложение для участия в конкурсе. </w:t>
      </w:r>
    </w:p>
    <w:p w:rsidR="00000000" w:rsidDel="00000000" w:rsidP="00000000" w:rsidRDefault="00000000" w:rsidRPr="00000000" w14:paraId="00000035">
      <w:pPr>
        <w:spacing w:after="160" w:line="276" w:lineRule="auto"/>
        <w:ind w:firstLine="644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Более детально с условиями конкурса можно ознакомиться на </w:t>
      </w:r>
      <w:hyperlink r:id="rId2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странице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Министерства в «Инстаграм».</w:t>
      </w:r>
    </w:p>
    <w:sectPr>
      <w:footerReference r:id="rId25" w:type="default"/>
      <w:footerReference r:id="rId26" w:type="first"/>
      <w:pgSz w:h="15840" w:w="12240" w:orient="portrait"/>
      <w:pgMar w:bottom="851" w:top="1135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Скачайте мобильное приложение -&gt; откройте вкладку «Законодательство» -&gt; откройте вкладку «Законодательные реформы».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  <w:ind w:firstLine="567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aktus.media/doc/489866_slishkom_mnogo_narysheniy._instityt_ombydsmena_predlagaet_dorabotat_zakonoproekt_o_smi.html" TargetMode="External"/><Relationship Id="rId22" Type="http://schemas.openxmlformats.org/officeDocument/2006/relationships/hyperlink" Target="https://kaktus.media/doc/489866_slishkom_mnogo_narysheniy._instityt_ombydsmena_predlagaet_dorabotat_zakonoproekt_o_smi.html" TargetMode="External"/><Relationship Id="rId21" Type="http://schemas.openxmlformats.org/officeDocument/2006/relationships/hyperlink" Target="http://cbd.minjust.gov.kg/act/view/ru-ru/1093" TargetMode="External"/><Relationship Id="rId24" Type="http://schemas.openxmlformats.org/officeDocument/2006/relationships/hyperlink" Target="https://www.instagram.com/jashtar.gov.kg/" TargetMode="External"/><Relationship Id="rId23" Type="http://schemas.openxmlformats.org/officeDocument/2006/relationships/hyperlink" Target="http://cbd.minjust.gov.kg/act/view/ru-ru/11157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lay.google.com/store/apps/details?id=kg.icnl&amp;hl=en_US" TargetMode="External"/><Relationship Id="rId26" Type="http://schemas.openxmlformats.org/officeDocument/2006/relationships/footer" Target="footer2.xml"/><Relationship Id="rId25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apps.apple.com/kg/app/ngo-kyrgyzsta-n/id1548221635" TargetMode="External"/><Relationship Id="rId11" Type="http://schemas.openxmlformats.org/officeDocument/2006/relationships/hyperlink" Target="https://www.youtube.com/watch?v=WK2ieSyAYNM&amp;t=4001s%D1%83%D1%88%D1%83%D0%BB" TargetMode="External"/><Relationship Id="rId10" Type="http://schemas.openxmlformats.org/officeDocument/2006/relationships/hyperlink" Target="http://cbd.minjust.gov.kg/act/view/ru-ru/219673" TargetMode="External"/><Relationship Id="rId13" Type="http://schemas.openxmlformats.org/officeDocument/2006/relationships/hyperlink" Target="http://cbd.minjust.gov.kg/act/view/ru-ru/112437?cl=ru-ru" TargetMode="External"/><Relationship Id="rId12" Type="http://schemas.openxmlformats.org/officeDocument/2006/relationships/hyperlink" Target="https://www.youtube.com/watch?v=WK2ieSyAYNM&amp;t=4001s%D1%83%D1%88%D1%83%D0%BB" TargetMode="External"/><Relationship Id="rId15" Type="http://schemas.openxmlformats.org/officeDocument/2006/relationships/hyperlink" Target="http://osgo.kg/index.php?act=view_material&amp;id=1330" TargetMode="External"/><Relationship Id="rId14" Type="http://schemas.openxmlformats.org/officeDocument/2006/relationships/hyperlink" Target="http://kenesh.kg/ru/draftlaw/634426/show" TargetMode="External"/><Relationship Id="rId17" Type="http://schemas.openxmlformats.org/officeDocument/2006/relationships/hyperlink" Target="http://kenesh.kg/ru/draftlaw/637855/show" TargetMode="External"/><Relationship Id="rId16" Type="http://schemas.openxmlformats.org/officeDocument/2006/relationships/hyperlink" Target="http://kenesh.kg/ru/draftlaw/637863/show" TargetMode="External"/><Relationship Id="rId19" Type="http://schemas.openxmlformats.org/officeDocument/2006/relationships/hyperlink" Target="https://kaktus.media/doc/489954_venecianskaia_komissiia_raskritikovala_novyu_redakciu_zakona_o_smi._i_dala_svoi_rekomendacii.html" TargetMode="External"/><Relationship Id="rId18" Type="http://schemas.openxmlformats.org/officeDocument/2006/relationships/hyperlink" Target="http://cbd.minjust.gov.kg/act/view/ru-ru/17581?cl=ru-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  <property fmtid="{D5CDD505-2E9C-101B-9397-08002B2CF9AE}" pid="3" name="ContentTypeId">
    <vt:lpwstr>0x0101007137CFD7E6B38C47B6A41708AA13AD73</vt:lpwstr>
  </property>
</Properties>
</file>