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47</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15 февраля 2024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1030258143"/>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Законопроект «об иностранных представителях» возвращен Жогорку Кенешем на доработку в ответственный комитет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3znysh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Комитет парламента не одобрил проект Закона «О средствах массовой информации»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2et92p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Подписан Закон «О внесении изменений в Налоговый кодекс Кыргызской Республики»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tyjcw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На общественное обсуждение вынесен проект конституционного Закона «О Жогорку Кенеше Кыргызской Республики»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rPr>
          <w:rFonts w:ascii="Cambria" w:cs="Cambria" w:eastAsia="Cambria" w:hAnsi="Cambria"/>
          <w:color w:val="2e75b5"/>
          <w:sz w:val="22"/>
          <w:szCs w:val="22"/>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3"/>
        <w:numPr>
          <w:ilvl w:val="0"/>
          <w:numId w:val="1"/>
        </w:numPr>
        <w:spacing w:after="120" w:before="0" w:line="276" w:lineRule="auto"/>
        <w:ind w:left="1134" w:hanging="425"/>
        <w:jc w:val="both"/>
        <w:rPr>
          <w:rFonts w:ascii="Cambria" w:cs="Cambria" w:eastAsia="Cambria" w:hAnsi="Cambria"/>
          <w:color w:val="2e75b5"/>
          <w:sz w:val="22"/>
          <w:szCs w:val="22"/>
        </w:rPr>
      </w:pPr>
      <w:bookmarkStart w:colFirst="0" w:colLast="0" w:name="_30j0zll" w:id="1"/>
      <w:bookmarkEnd w:id="1"/>
      <w:r w:rsidDel="00000000" w:rsidR="00000000" w:rsidRPr="00000000">
        <w:rPr>
          <w:rFonts w:ascii="Cambria" w:cs="Cambria" w:eastAsia="Cambria" w:hAnsi="Cambria"/>
          <w:color w:val="2e75b5"/>
          <w:sz w:val="22"/>
          <w:szCs w:val="22"/>
          <w:rtl w:val="0"/>
        </w:rPr>
        <w:t xml:space="preserve">Законопроект «об иностранных представителях» возвращен Жогорку Кенешем на доработку в ответственный комитет</w:t>
      </w:r>
    </w:p>
    <w:p w:rsidR="00000000" w:rsidDel="00000000" w:rsidP="00000000" w:rsidRDefault="00000000" w:rsidRPr="00000000" w14:paraId="0000000E">
      <w:pPr>
        <w:spacing w:after="120" w:line="276" w:lineRule="auto"/>
        <w:ind w:firstLine="720"/>
        <w:jc w:val="both"/>
        <w:rPr>
          <w:rFonts w:ascii="Cambria" w:cs="Cambria" w:eastAsia="Cambria" w:hAnsi="Cambria"/>
          <w:sz w:val="22"/>
          <w:szCs w:val="22"/>
        </w:rPr>
      </w:pPr>
      <w:bookmarkStart w:colFirst="0" w:colLast="0" w:name="_1fob9te" w:id="2"/>
      <w:bookmarkEnd w:id="2"/>
      <w:r w:rsidDel="00000000" w:rsidR="00000000" w:rsidRPr="00000000">
        <w:rPr>
          <w:rFonts w:ascii="Cambria" w:cs="Cambria" w:eastAsia="Cambria" w:hAnsi="Cambria"/>
          <w:sz w:val="22"/>
          <w:szCs w:val="22"/>
          <w:rtl w:val="0"/>
        </w:rPr>
        <w:t xml:space="preserve">14 февраля 2024 г. депутаты Жогорку Кенеша в ходе пленарного заседания обсудили проект Закона «О внесении изменений в некоторые законодательные акты (Закон Кыргызской Республики «О некоммерческих организациях» и в Уголовный кодекс Кыргызской Республики»)» (законопроект), внесенный для рассмотрения во втором чтении, и приняли единогласное решение вернуть его на доработку в Комитет по конституционному законодательству, государственному устройству, судебно-правовым вопросам и Регламенту Жогорку Кенеша. Во время рассмотрения законопроекта заместитель Торага Жогорку Кенеша Азыгалиев Н.А. сообщил о поступлении ряда предложений депутатов к законопроекту, среди которых были предложения о необходимости более тщательного анализа законопроекта и исключении из него норм об уголовной ответственности представителей НКО.</w:t>
      </w:r>
    </w:p>
    <w:p w:rsidR="00000000" w:rsidDel="00000000" w:rsidP="00000000" w:rsidRDefault="00000000" w:rsidRPr="00000000" w14:paraId="0000000F">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 обновленным Анализом МЦНП по законопроекту от 5 февраля 2024 г. можно ознакомиться </w:t>
      </w:r>
      <w:hyperlink r:id="rId7">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10">
      <w:pPr>
        <w:spacing w:after="120"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17 января 2024 г. Государственный секретарь США Энтони Блинкен написал письмо Президенту Кыргызской Республики Садыру Жапарову, где выразил обеспокоенность по поводу законопроекта. Согласно его мнению, законопроект поставит под угрозу активное гражданское общество, которое уже давно является самым сильным в Центральной Азии, а также доступ граждан страны к жизненно важным услугам, таким как здравоохранение и образование, через программы, осуществляемые НКО при поддержке правительства США и международных партнеров. В письме есть информация о том, что некоторые американские партнеры по реализации программ рассматривают возможность прекращения своей деятельности в Кыргызской Республике, в случае принятия законопроекта. Энтони Блинкен призвал Садыра Жапарова обсудить угрозы, которые содержит в себе законопроект, с лидерами парламента, и выразил надежду продолжить укрепление двусторонних отношений между Кыргызстаном и США. С текстом письма Государственного секретаря США можно ознакомиться</w:t>
      </w:r>
      <w:r w:rsidDel="00000000" w:rsidR="00000000" w:rsidRPr="00000000">
        <w:rPr>
          <w:rtl w:val="0"/>
        </w:rPr>
        <w:t xml:space="preserve"> </w:t>
      </w:r>
      <w:hyperlink r:id="rId8">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color w:val="0563c1"/>
          <w:sz w:val="22"/>
          <w:szCs w:val="22"/>
          <w:u w:val="single"/>
          <w:rtl w:val="0"/>
        </w:rPr>
        <w:t xml:space="preserve">.</w:t>
      </w:r>
      <w:r w:rsidDel="00000000" w:rsidR="00000000" w:rsidRPr="00000000">
        <w:rPr>
          <w:rtl w:val="0"/>
        </w:rPr>
      </w:r>
    </w:p>
    <w:p w:rsidR="00000000" w:rsidDel="00000000" w:rsidP="00000000" w:rsidRDefault="00000000" w:rsidRPr="00000000" w14:paraId="00000011">
      <w:pP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9 февраля 2024 г. Президент Кыргызской Республики Садыр Жапаров, написал ответное письмо Государственному секретарю США. В ответном письме Садыр Жапаров выразил готовность совместно работать по продвижению общих приоритетов сотрудничества в многостороннем и двустороннем форматах, а также отметил, что поддерживает деятельность НКО в стране. Однако подчеркнул, что законопроект устанавливает требования по исполнению норм Конституции и законов Кыргызской Республики, а также обеспечивает прозрачность деятельности НКО, средств массовой информации и их подотчетности перед налоговыми органами (о видах отчетов, которые НКО уже сдают в соответствии с действующим законодательством можно прочитать </w:t>
      </w:r>
      <w:hyperlink r:id="rId9">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В конце своего письма Садыр Жапаров написал просьбу, – не вмешиваться во внутренние дела Кыргызстана. Здесь можно ознакомиться</w:t>
      </w:r>
      <w:r w:rsidDel="00000000" w:rsidR="00000000" w:rsidRPr="00000000">
        <w:rPr>
          <w:rtl w:val="0"/>
        </w:rPr>
        <w:t xml:space="preserve"> с </w:t>
      </w:r>
      <w:r w:rsidDel="00000000" w:rsidR="00000000" w:rsidRPr="00000000">
        <w:rPr>
          <w:rFonts w:ascii="Cambria" w:cs="Cambria" w:eastAsia="Cambria" w:hAnsi="Cambria"/>
          <w:sz w:val="22"/>
          <w:szCs w:val="22"/>
          <w:rtl w:val="0"/>
        </w:rPr>
        <w:t xml:space="preserve">текстом</w:t>
      </w:r>
      <w:r w:rsidDel="00000000" w:rsidR="00000000" w:rsidRPr="00000000">
        <w:rPr>
          <w:rtl w:val="0"/>
        </w:rPr>
        <w:t xml:space="preserve"> </w:t>
      </w:r>
      <w:hyperlink r:id="rId10">
        <w:r w:rsidDel="00000000" w:rsidR="00000000" w:rsidRPr="00000000">
          <w:rPr>
            <w:rFonts w:ascii="Cambria" w:cs="Cambria" w:eastAsia="Cambria" w:hAnsi="Cambria"/>
            <w:color w:val="0563c1"/>
            <w:sz w:val="22"/>
            <w:szCs w:val="22"/>
            <w:u w:val="single"/>
            <w:rtl w:val="0"/>
          </w:rPr>
          <w:t xml:space="preserve">ответного письма</w:t>
        </w:r>
      </w:hyperlink>
      <w:r w:rsidDel="00000000" w:rsidR="00000000" w:rsidRPr="00000000">
        <w:rPr>
          <w:rFonts w:ascii="Cambria" w:cs="Cambria" w:eastAsia="Cambria" w:hAnsi="Cambria"/>
          <w:sz w:val="22"/>
          <w:szCs w:val="22"/>
          <w:rtl w:val="0"/>
        </w:rPr>
        <w:t xml:space="preserve"> Президента Кыргызской Республики.</w:t>
      </w:r>
    </w:p>
    <w:p w:rsidR="00000000" w:rsidDel="00000000" w:rsidP="00000000" w:rsidRDefault="00000000" w:rsidRPr="00000000" w14:paraId="00000012">
      <w:pPr>
        <w:spacing w:line="276" w:lineRule="auto"/>
        <w:ind w:firstLine="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3">
      <w:pPr>
        <w:pStyle w:val="Heading3"/>
        <w:numPr>
          <w:ilvl w:val="0"/>
          <w:numId w:val="1"/>
        </w:numPr>
        <w:spacing w:before="0" w:line="276" w:lineRule="auto"/>
        <w:ind w:left="1134" w:hanging="425"/>
        <w:jc w:val="both"/>
        <w:rPr>
          <w:rFonts w:ascii="Cambria" w:cs="Cambria" w:eastAsia="Cambria" w:hAnsi="Cambria"/>
          <w:color w:val="2e75b5"/>
          <w:sz w:val="22"/>
          <w:szCs w:val="22"/>
        </w:rPr>
      </w:pPr>
      <w:bookmarkStart w:colFirst="0" w:colLast="0" w:name="_3znysh7" w:id="3"/>
      <w:bookmarkEnd w:id="3"/>
      <w:r w:rsidDel="00000000" w:rsidR="00000000" w:rsidRPr="00000000">
        <w:rPr>
          <w:rFonts w:ascii="Cambria" w:cs="Cambria" w:eastAsia="Cambria" w:hAnsi="Cambria"/>
          <w:color w:val="2e75b5"/>
          <w:sz w:val="22"/>
          <w:szCs w:val="22"/>
          <w:rtl w:val="0"/>
        </w:rPr>
        <w:t xml:space="preserve">Комитет парламента не одобрил проект Закона «О средствах массовой информации» </w:t>
      </w:r>
    </w:p>
    <w:p w:rsidR="00000000" w:rsidDel="00000000" w:rsidP="00000000" w:rsidRDefault="00000000" w:rsidRPr="00000000" w14:paraId="00000014">
      <w:pPr>
        <w:spacing w:before="24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13 февраля 2024 г. Комитет по конституционному законодательству, государственному устройству, судебно-правовым вопросам и Регламенту Жогорку Кенеша (далее - Комитет) рассмотрел очередной (пятый) вариант проекта Закона «О средствах массовой информации». Инициатором законопроекта является Кабинета Министров. </w:t>
      </w:r>
    </w:p>
    <w:p w:rsidR="00000000" w:rsidDel="00000000" w:rsidP="00000000" w:rsidRDefault="00000000" w:rsidRPr="00000000" w14:paraId="00000015">
      <w:pPr>
        <w:spacing w:before="24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Депутаты Жогорку Кенеша Гуля Кожокулова, Жанар Акаев и Замирбек Мамасадыков проголосовали против одобрения законопроекта, а депутаты Чингиз Ажибаев, Дастанбек Джумабеков и Джамиля Исаева проголосовали «за» одобрение концепции данного законопроекта. Тем самым, законопроект не был одобрен Комитетом для его принятия в первом чтении парламентом, так как он не получил большинства голосов членов Комитет. </w:t>
      </w:r>
    </w:p>
    <w:p w:rsidR="00000000" w:rsidDel="00000000" w:rsidP="00000000" w:rsidRDefault="00000000" w:rsidRPr="00000000" w14:paraId="00000016">
      <w:pPr>
        <w:spacing w:before="24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ходе заседания Комитета депутат Гуля Кожокулова раскритиковала законопроект и подчеркнула, что в нем содержится множество недостатков, к примеру, некорректное определение термина “веб-сайт”, отсутствие определения понятия “обманным путем” и другие. В связи с этим она предложила не поддерживать законопроект. Депутат Жанар Акаев согласился с мнением Гули Кожокуловой о том, что законопроект содержит множество недостатков, среди которых он обозначил – неясность того, какое ведомство будет регистрировать СМИ. Таким образом, законопроект не был рекомендован данным Комитетом для его принятия парламентом в первом чтении.</w:t>
      </w:r>
    </w:p>
    <w:p w:rsidR="00000000" w:rsidDel="00000000" w:rsidP="00000000" w:rsidRDefault="00000000" w:rsidRPr="00000000" w14:paraId="00000017">
      <w:pPr>
        <w:spacing w:after="120" w:before="240" w:line="276" w:lineRule="auto"/>
        <w:ind w:firstLine="720"/>
        <w:jc w:val="both"/>
        <w:rPr>
          <w:rFonts w:ascii="Cambria" w:cs="Cambria" w:eastAsia="Cambria" w:hAnsi="Cambria"/>
          <w:color w:val="0563c1"/>
          <w:sz w:val="22"/>
          <w:szCs w:val="22"/>
          <w:u w:val="single"/>
        </w:rPr>
      </w:pPr>
      <w:r w:rsidDel="00000000" w:rsidR="00000000" w:rsidRPr="00000000">
        <w:rPr>
          <w:rFonts w:ascii="Cambria" w:cs="Cambria" w:eastAsia="Cambria" w:hAnsi="Cambria"/>
          <w:sz w:val="22"/>
          <w:szCs w:val="22"/>
          <w:rtl w:val="0"/>
        </w:rPr>
        <w:t xml:space="preserve">Напомним, что 15 декабря 2023 года на сайте Жогорку Кенеша была размещена пятая версия проекта Закона «О средствах массовой информации». ОФ «Медиа полиси институт» представил </w:t>
      </w:r>
      <w:hyperlink r:id="rId11">
        <w:r w:rsidDel="00000000" w:rsidR="00000000" w:rsidRPr="00000000">
          <w:rPr>
            <w:rFonts w:ascii="Cambria" w:cs="Cambria" w:eastAsia="Cambria" w:hAnsi="Cambria"/>
            <w:color w:val="0563c1"/>
            <w:sz w:val="22"/>
            <w:szCs w:val="22"/>
            <w:u w:val="single"/>
            <w:rtl w:val="0"/>
          </w:rPr>
          <w:t xml:space="preserve">анализ</w:t>
        </w:r>
      </w:hyperlink>
      <w:r w:rsidDel="00000000" w:rsidR="00000000" w:rsidRPr="00000000">
        <w:rPr>
          <w:rFonts w:ascii="Cambria" w:cs="Cambria" w:eastAsia="Cambria" w:hAnsi="Cambria"/>
          <w:sz w:val="22"/>
          <w:szCs w:val="22"/>
          <w:rtl w:val="0"/>
        </w:rPr>
        <w:t xml:space="preserve"> по основным нововведениям и рискам, с которыми могут столкнуться представители СМИ, в случае принятия законопроекта в предложенной редакции. Как отмечено в анализе ОФ «Медиа полиси институт», замечания, представленные ОГО и СМИ в рамках деятельности рабочей группы, созданной </w:t>
      </w:r>
      <w:hyperlink r:id="rId12">
        <w:r w:rsidDel="00000000" w:rsidR="00000000" w:rsidRPr="00000000">
          <w:rPr>
            <w:rFonts w:ascii="Cambria" w:cs="Cambria" w:eastAsia="Cambria" w:hAnsi="Cambria"/>
            <w:color w:val="0563c1"/>
            <w:sz w:val="22"/>
            <w:szCs w:val="22"/>
            <w:u w:val="single"/>
            <w:rtl w:val="0"/>
          </w:rPr>
          <w:t xml:space="preserve">распоряжением Президента от 7 декабря 2022 года № 230</w:t>
        </w:r>
      </w:hyperlink>
      <w:r w:rsidDel="00000000" w:rsidR="00000000" w:rsidRPr="00000000">
        <w:rPr>
          <w:rFonts w:ascii="Cambria" w:cs="Cambria" w:eastAsia="Cambria" w:hAnsi="Cambria"/>
          <w:sz w:val="22"/>
          <w:szCs w:val="22"/>
          <w:rtl w:val="0"/>
        </w:rPr>
        <w:t xml:space="preserve">, не были приняты во внимание Администрацией Президента. Ознакомиться с законопроектом и сопроводительными документами к нему можно </w:t>
      </w:r>
      <w:hyperlink r:id="rId13">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tl w:val="0"/>
        </w:rPr>
      </w:r>
    </w:p>
    <w:p w:rsidR="00000000" w:rsidDel="00000000" w:rsidP="00000000" w:rsidRDefault="00000000" w:rsidRPr="00000000" w14:paraId="00000018">
      <w:pPr>
        <w:ind w:left="709" w:firstLine="0"/>
        <w:rPr/>
      </w:pPr>
      <w:r w:rsidDel="00000000" w:rsidR="00000000" w:rsidRPr="00000000">
        <w:rPr>
          <w:rtl w:val="0"/>
        </w:rPr>
      </w:r>
    </w:p>
    <w:p w:rsidR="00000000" w:rsidDel="00000000" w:rsidP="00000000" w:rsidRDefault="00000000" w:rsidRPr="00000000" w14:paraId="00000019">
      <w:pPr>
        <w:pStyle w:val="Heading3"/>
        <w:numPr>
          <w:ilvl w:val="0"/>
          <w:numId w:val="1"/>
        </w:numPr>
        <w:spacing w:after="120" w:before="0" w:line="276" w:lineRule="auto"/>
        <w:ind w:left="1134" w:hanging="425"/>
        <w:jc w:val="both"/>
        <w:rPr>
          <w:rFonts w:ascii="Cambria" w:cs="Cambria" w:eastAsia="Cambria" w:hAnsi="Cambria"/>
          <w:color w:val="2e75b5"/>
          <w:sz w:val="22"/>
          <w:szCs w:val="22"/>
        </w:rPr>
      </w:pPr>
      <w:bookmarkStart w:colFirst="0" w:colLast="0" w:name="_2et92p0" w:id="4"/>
      <w:bookmarkEnd w:id="4"/>
      <w:r w:rsidDel="00000000" w:rsidR="00000000" w:rsidRPr="00000000">
        <w:rPr>
          <w:rFonts w:ascii="Cambria" w:cs="Cambria" w:eastAsia="Cambria" w:hAnsi="Cambria"/>
          <w:color w:val="2e75b5"/>
          <w:sz w:val="22"/>
          <w:szCs w:val="22"/>
          <w:rtl w:val="0"/>
        </w:rPr>
        <w:t xml:space="preserve">Подписан Закон «О внесении изменений в Налоговый кодекс Кыргызской Республики»</w:t>
      </w:r>
    </w:p>
    <w:p w:rsidR="00000000" w:rsidDel="00000000" w:rsidP="00000000" w:rsidRDefault="00000000" w:rsidRPr="00000000" w14:paraId="0000001A">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февраля 2024 г. Президент подписал Закон «О внесении изменений в Налоговый кодекс Кыргызской Республики», принятый Жогорку Кенешем 28 декабря 2023 года. Закон был разработан в целях упрощения налогового администрирования. </w:t>
      </w:r>
    </w:p>
    <w:p w:rsidR="00000000" w:rsidDel="00000000" w:rsidP="00000000" w:rsidRDefault="00000000" w:rsidRPr="00000000" w14:paraId="0000001B">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Внесённые изменения предусматривают возможность применения, в некоторых случаях, помимо электронных счетов-фактур, других электронных документов, заменяющих счет-фактуру. Также переносится срок с 1 января 2024 года на 1 июля 2024 года, с которого физическое лицо, занимающееся торговлей, лишается возможности применения режима уплаты налога на основе патента.</w:t>
      </w:r>
    </w:p>
    <w:p w:rsidR="00000000" w:rsidDel="00000000" w:rsidP="00000000" w:rsidRDefault="00000000" w:rsidRPr="00000000" w14:paraId="0000001C">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Среди других изменений Закон содержит освобождение от: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87"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уплаты налога с продаж при реализации товаров, выполнении работ, оказании услуг благотворительными организациями;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87"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НДС с поставок, осуществляемых НКО, в сфере экологии (в дополнение к сферам образования, медицины, науки, культуры и спорта, которые уже были ранее предусмотрены в действующем Налоговом кодексе).</w:t>
      </w:r>
    </w:p>
    <w:p w:rsidR="00000000" w:rsidDel="00000000" w:rsidP="00000000" w:rsidRDefault="00000000" w:rsidRPr="00000000" w14:paraId="0000001F">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 вступает в силу с 1 января 2024 года за исключением пунктов 14, 17 и 40 статьи 1 Закона, которые вступают в силу с 3 апреля 2023 года.</w:t>
      </w:r>
    </w:p>
    <w:p w:rsidR="00000000" w:rsidDel="00000000" w:rsidP="00000000" w:rsidRDefault="00000000" w:rsidRPr="00000000" w14:paraId="00000020">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Закона можно </w:t>
      </w:r>
      <w:hyperlink r:id="rId14">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а с обновленным текстом Налогового кодекса КР </w:t>
      </w:r>
      <w:hyperlink r:id="rId15">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1">
      <w:pPr>
        <w:ind w:left="709" w:firstLine="0"/>
        <w:rPr/>
      </w:pPr>
      <w:r w:rsidDel="00000000" w:rsidR="00000000" w:rsidRPr="00000000">
        <w:rPr>
          <w:rtl w:val="0"/>
        </w:rPr>
      </w:r>
    </w:p>
    <w:p w:rsidR="00000000" w:rsidDel="00000000" w:rsidP="00000000" w:rsidRDefault="00000000" w:rsidRPr="00000000" w14:paraId="00000022">
      <w:pPr>
        <w:pStyle w:val="Heading3"/>
        <w:numPr>
          <w:ilvl w:val="0"/>
          <w:numId w:val="1"/>
        </w:numPr>
        <w:spacing w:after="120" w:before="0" w:line="276" w:lineRule="auto"/>
        <w:ind w:left="1134" w:hanging="425"/>
        <w:jc w:val="both"/>
        <w:rPr>
          <w:rFonts w:ascii="Cambria" w:cs="Cambria" w:eastAsia="Cambria" w:hAnsi="Cambria"/>
          <w:color w:val="2e75b5"/>
          <w:sz w:val="22"/>
          <w:szCs w:val="22"/>
        </w:rPr>
      </w:pPr>
      <w:bookmarkStart w:colFirst="0" w:colLast="0" w:name="_tyjcwt" w:id="5"/>
      <w:bookmarkEnd w:id="5"/>
      <w:r w:rsidDel="00000000" w:rsidR="00000000" w:rsidRPr="00000000">
        <w:rPr>
          <w:rFonts w:ascii="Cambria" w:cs="Cambria" w:eastAsia="Cambria" w:hAnsi="Cambria"/>
          <w:color w:val="2e75b5"/>
          <w:sz w:val="22"/>
          <w:szCs w:val="22"/>
          <w:rtl w:val="0"/>
        </w:rPr>
        <w:t xml:space="preserve">На общественное обсуждение вынесен проект конституционного Закона «О Жогорку Кенеше Кыргызской Республики»</w:t>
      </w:r>
    </w:p>
    <w:p w:rsidR="00000000" w:rsidDel="00000000" w:rsidP="00000000" w:rsidRDefault="00000000" w:rsidRPr="00000000" w14:paraId="00000023">
      <w:pPr>
        <w:spacing w:after="120"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31 января 2024 г. на общественное обсуждение был вынесен проект конституционного Закона «О Жогорку Кенеше Кыргызской Республики». Инициатором данного законопроекта является депутат Жогорку Кенеша Марлен Маматалиев. </w:t>
      </w:r>
    </w:p>
    <w:p w:rsidR="00000000" w:rsidDel="00000000" w:rsidP="00000000" w:rsidRDefault="00000000" w:rsidRPr="00000000" w14:paraId="00000024">
      <w:pPr>
        <w:spacing w:after="120"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организация и порядок деятельности государственных органов, указанных в разделе «Органы государственной власти», а также гарантии их независимости в соответствии со статьей 110 Конституции Кыргызской Республики определяются конституционными законами. Принимая во внимание, что Жогорку Кенеш входит в число указанных выше органов государственной власти, согласно мнению инициатора законопроекта, </w:t>
      </w:r>
      <w:r w:rsidDel="00000000" w:rsidR="00000000" w:rsidRPr="00000000">
        <w:rPr>
          <w:rFonts w:ascii="Cambria" w:cs="Cambria" w:eastAsia="Cambria" w:hAnsi="Cambria"/>
          <w:i w:val="1"/>
          <w:iCs w:val="1"/>
          <w:sz w:val="22"/>
          <w:szCs w:val="22"/>
          <w:rtl w:val="0"/>
        </w:rPr>
        <w:t xml:space="preserve">возникла необходимость разработки проекта нормативного правового акта в виде проекта конституционного закона</w:t>
      </w:r>
      <w:r w:rsidDel="00000000" w:rsidR="00000000" w:rsidRPr="00000000">
        <w:rPr>
          <w:rFonts w:ascii="Cambria" w:cs="Cambria" w:eastAsia="Cambria" w:hAnsi="Cambria"/>
          <w:sz w:val="22"/>
          <w:szCs w:val="22"/>
          <w:rtl w:val="0"/>
        </w:rPr>
        <w:t xml:space="preserve">. Предлагаемый законопроект заменяет собой и включает в себя нормы, содержащиеся в следующих законах Кыргызской Республики: Закон «О Регламенте Жогорку Кенеша КР», Закон «О статусе депутата Жогорку Кенеша Кыргызской Республики», Закон «О порядке осуществления контрольных функций Жогорку Кенешем Кыргызской Республики», Закон «О порядке освещения деятельности Жогорку Кенеша Кыргызской Республики в государственных средствах массовой информации».</w:t>
      </w:r>
    </w:p>
    <w:p w:rsidR="00000000" w:rsidDel="00000000" w:rsidP="00000000" w:rsidRDefault="00000000" w:rsidRPr="00000000" w14:paraId="00000025">
      <w:pPr>
        <w:spacing w:after="120"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Таким образом, данный законопроект содержит положения по организации деятельности Жогорку Кенеша, законодательной процедуре, контрольным функциям Жогорку Кенеша, статусу и гарантиям независимости депутатов Жогорку Кенеша, основным правам, обязанностям и ответственности депутатов Жогорку Кенеша, рассмотрению Жогорку Кенешем вопросов, отнесенных к его ведению, взаимодействию Жогорку Кенеша с избирателями, государственными органами, органами местного самоуправления и организациями гражданского общества, освещению деятельности Жогорку Кенеша в государственных СМИ и другие.</w:t>
      </w:r>
    </w:p>
    <w:p w:rsidR="00000000" w:rsidDel="00000000" w:rsidP="00000000" w:rsidRDefault="00000000" w:rsidRPr="00000000" w14:paraId="00000026">
      <w:pPr>
        <w:spacing w:after="120"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Ознакомиться с проектом данного конституционного Закона и сопроводительными документами к нему можно </w:t>
      </w:r>
      <w:hyperlink r:id="rId16">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color w:val="000000"/>
          <w:sz w:val="22"/>
          <w:szCs w:val="22"/>
          <w:u w:val="none"/>
          <w:rtl w:val="0"/>
        </w:rPr>
        <w:t xml:space="preserve"> Предложения и замечания к законопроекту представители гражданского общества могут отправить по электронному адресу: </w:t>
      </w:r>
      <w:hyperlink r:id="rId17">
        <w:r w:rsidDel="00000000" w:rsidR="00000000" w:rsidRPr="00000000">
          <w:rPr>
            <w:rFonts w:ascii="Cambria" w:cs="Cambria" w:eastAsia="Cambria" w:hAnsi="Cambria"/>
            <w:color w:val="0563c1"/>
            <w:sz w:val="22"/>
            <w:szCs w:val="22"/>
            <w:u w:val="single"/>
            <w:rtl w:val="0"/>
          </w:rPr>
          <w:t xml:space="preserve">nsuleimanova86@gmail.com</w:t>
        </w:r>
      </w:hyperlink>
      <w:r w:rsidDel="00000000" w:rsidR="00000000" w:rsidRPr="00000000">
        <w:rPr>
          <w:rFonts w:ascii="Cambria" w:cs="Cambria" w:eastAsia="Cambria" w:hAnsi="Cambria"/>
          <w:color w:val="000000"/>
          <w:sz w:val="22"/>
          <w:szCs w:val="22"/>
          <w:u w:val="none"/>
          <w:rtl w:val="0"/>
        </w:rPr>
        <w:t xml:space="preserve"> и телефону (312) 638651 до 29 февраля 2024 г.</w:t>
      </w:r>
      <w:r w:rsidDel="00000000" w:rsidR="00000000" w:rsidRPr="00000000">
        <w:rPr>
          <w:rtl w:val="0"/>
        </w:rPr>
      </w:r>
    </w:p>
    <w:sectPr>
      <w:footerReference r:id="rId18" w:type="default"/>
      <w:footerReference r:id="rId19" w:type="first"/>
      <w:pgSz w:h="15840" w:w="12240" w:orient="portrait"/>
      <w:pgMar w:bottom="851" w:top="1135"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64"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87" w:hanging="360"/>
      </w:pPr>
      <w:rPr>
        <w:rFonts w:ascii="Noto Sans Symbols" w:cs="Noto Sans Symbols" w:eastAsia="Noto Sans Symbols" w:hAnsi="Noto Sans Symbols"/>
      </w:rPr>
    </w:lvl>
    <w:lvl w:ilvl="1">
      <w:start w:val="1"/>
      <w:numFmt w:val="bullet"/>
      <w:lvlText w:val="o"/>
      <w:lvlJc w:val="left"/>
      <w:pPr>
        <w:ind w:left="2207" w:hanging="360"/>
      </w:pPr>
      <w:rPr>
        <w:rFonts w:ascii="Courier New" w:cs="Courier New" w:eastAsia="Courier New" w:hAnsi="Courier New"/>
      </w:rPr>
    </w:lvl>
    <w:lvl w:ilvl="2">
      <w:start w:val="1"/>
      <w:numFmt w:val="bullet"/>
      <w:lvlText w:val="▪"/>
      <w:lvlJc w:val="left"/>
      <w:pPr>
        <w:ind w:left="2927" w:hanging="360"/>
      </w:pPr>
      <w:rPr>
        <w:rFonts w:ascii="Noto Sans Symbols" w:cs="Noto Sans Symbols" w:eastAsia="Noto Sans Symbols" w:hAnsi="Noto Sans Symbols"/>
      </w:rPr>
    </w:lvl>
    <w:lvl w:ilvl="3">
      <w:start w:val="1"/>
      <w:numFmt w:val="bullet"/>
      <w:lvlText w:val="●"/>
      <w:lvlJc w:val="left"/>
      <w:pPr>
        <w:ind w:left="3647" w:hanging="360"/>
      </w:pPr>
      <w:rPr>
        <w:rFonts w:ascii="Noto Sans Symbols" w:cs="Noto Sans Symbols" w:eastAsia="Noto Sans Symbols" w:hAnsi="Noto Sans Symbols"/>
      </w:rPr>
    </w:lvl>
    <w:lvl w:ilvl="4">
      <w:start w:val="1"/>
      <w:numFmt w:val="bullet"/>
      <w:lvlText w:val="o"/>
      <w:lvlJc w:val="left"/>
      <w:pPr>
        <w:ind w:left="4367" w:hanging="360"/>
      </w:pPr>
      <w:rPr>
        <w:rFonts w:ascii="Courier New" w:cs="Courier New" w:eastAsia="Courier New" w:hAnsi="Courier New"/>
      </w:rPr>
    </w:lvl>
    <w:lvl w:ilvl="5">
      <w:start w:val="1"/>
      <w:numFmt w:val="bullet"/>
      <w:lvlText w:val="▪"/>
      <w:lvlJc w:val="left"/>
      <w:pPr>
        <w:ind w:left="5087" w:hanging="360"/>
      </w:pPr>
      <w:rPr>
        <w:rFonts w:ascii="Noto Sans Symbols" w:cs="Noto Sans Symbols" w:eastAsia="Noto Sans Symbols" w:hAnsi="Noto Sans Symbols"/>
      </w:rPr>
    </w:lvl>
    <w:lvl w:ilvl="6">
      <w:start w:val="1"/>
      <w:numFmt w:val="bullet"/>
      <w:lvlText w:val="●"/>
      <w:lvlJc w:val="left"/>
      <w:pPr>
        <w:ind w:left="5807" w:hanging="360"/>
      </w:pPr>
      <w:rPr>
        <w:rFonts w:ascii="Noto Sans Symbols" w:cs="Noto Sans Symbols" w:eastAsia="Noto Sans Symbols" w:hAnsi="Noto Sans Symbols"/>
      </w:rPr>
    </w:lvl>
    <w:lvl w:ilvl="7">
      <w:start w:val="1"/>
      <w:numFmt w:val="bullet"/>
      <w:lvlText w:val="o"/>
      <w:lvlJc w:val="left"/>
      <w:pPr>
        <w:ind w:left="6527" w:hanging="360"/>
      </w:pPr>
      <w:rPr>
        <w:rFonts w:ascii="Courier New" w:cs="Courier New" w:eastAsia="Courier New" w:hAnsi="Courier New"/>
      </w:rPr>
    </w:lvl>
    <w:lvl w:ilvl="8">
      <w:start w:val="1"/>
      <w:numFmt w:val="bullet"/>
      <w:lvlText w:val="▪"/>
      <w:lvlJc w:val="left"/>
      <w:pPr>
        <w:ind w:left="7247"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hyperlink" Target="https://media.kg/wp-content/uploads/2024/01/kommentarij-imp-k-zakonoproektu-o-smi-zaregistrirovannogo-v-zhogorku-keneshe-ot-15.12.2023g.-1.pdf" TargetMode="External"/><Relationship Id="rId10" Type="http://schemas.openxmlformats.org/officeDocument/2006/relationships/hyperlink" Target="https://www.facebook.com/askat.alagozov/posts/7113377662063747" TargetMode="External"/><Relationship Id="rId13" Type="http://schemas.openxmlformats.org/officeDocument/2006/relationships/hyperlink" Target="https://kenesh.kg/ru/draftlaw/645473/show" TargetMode="External"/><Relationship Id="rId12" Type="http://schemas.openxmlformats.org/officeDocument/2006/relationships/hyperlink" Target="https://cbd.minjust.gov.kg/219364?refId=123193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24.kg/obschestvo/277567_zakon_obinoagentah_nko_kyirgyizstana_sdayut_13otchetov_trem_gosorganam/" TargetMode="External"/><Relationship Id="rId15" Type="http://schemas.openxmlformats.org/officeDocument/2006/relationships/hyperlink" Target="https://icnlalliance-my.sharepoint.com/:w:/g/personal/akurmanalieva_icnlalliance_kg/EZ7Tpxcx7SRAjyXpnXqBZ1YBXY2JsgT5XDAp2hNC5MTXyQ?e=z4V3DG" TargetMode="External"/><Relationship Id="rId14" Type="http://schemas.openxmlformats.org/officeDocument/2006/relationships/hyperlink" Target="https://icnlalliance-my.sharepoint.com/:w:/g/personal/akurmanalieva_icnlalliance_kg/EUy6QaUQ07REo8EX9mG2aEkBTBKXZgXHH0YrgFq3_E-ekw?e=CIM0Wh" TargetMode="External"/><Relationship Id="rId17" Type="http://schemas.openxmlformats.org/officeDocument/2006/relationships/hyperlink" Target="mailto:nsuleimanova86@gmail.com" TargetMode="External"/><Relationship Id="rId16" Type="http://schemas.openxmlformats.org/officeDocument/2006/relationships/hyperlink" Target="https://www.kenesh.kg/bills/public/2205"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https://icnlalliance-my.sharepoint.com/:w:/g/personal/akurmanalieva_icnlalliance_kg/ESSQf0OulGxMpSVc94S2AmcBAIjV2YZeOZD8PrrfKoB3Xw?e=m6DDrj" TargetMode="External"/><Relationship Id="rId8" Type="http://schemas.openxmlformats.org/officeDocument/2006/relationships/hyperlink" Target="https://24.kg/vlast/286182_gossekretar_ssha_entoni_blinken_napisal_pismo_sadyiru_japarov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y fmtid="{D5CDD505-2E9C-101B-9397-08002B2CF9AE}" pid="3" name="ContentTypeId">
    <vt:lpwstr>0x0101007137CFD7E6B38C47B6A41708AA13AD73</vt:lpwstr>
  </property>
</Properties>
</file>