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76" w:lineRule="auto"/>
        <w:ind w:firstLine="720"/>
        <w:jc w:val="center"/>
        <w:rPr>
          <w:rFonts w:ascii="Cambria" w:cs="Cambria" w:eastAsia="Cambria" w:hAnsi="Cambria"/>
          <w:color w:val="2e75b5"/>
        </w:rPr>
      </w:pPr>
      <w:r w:rsidDel="00000000" w:rsidR="00000000" w:rsidRPr="00000000">
        <w:rPr>
          <w:rFonts w:ascii="Cambria" w:cs="Cambria" w:eastAsia="Cambria" w:hAnsi="Cambria"/>
        </w:rPr>
        <w:drawing>
          <wp:inline distB="0" distT="0" distL="0" distR="0">
            <wp:extent cx="1120093" cy="81749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0093" cy="8174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276" w:lineRule="auto"/>
        <w:ind w:firstLine="720"/>
        <w:jc w:val="center"/>
        <w:rPr>
          <w:rFonts w:ascii="Cambria" w:cs="Cambria" w:eastAsia="Cambria" w:hAnsi="Cambria"/>
          <w:b w:val="1"/>
          <w:bCs w:val="1"/>
          <w:color w:val="2e75b5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2e75b5"/>
          <w:rtl w:val="0"/>
        </w:rPr>
        <w:t xml:space="preserve">ИНФОРМАЦИОННЫЙ БЮЛЛЕТЕНЬ N 49</w:t>
      </w:r>
    </w:p>
    <w:p w:rsidR="00000000" w:rsidDel="00000000" w:rsidP="00000000" w:rsidRDefault="00000000" w:rsidRPr="00000000" w14:paraId="00000003">
      <w:pPr>
        <w:spacing w:after="120" w:line="276" w:lineRule="auto"/>
        <w:ind w:firstLine="720"/>
        <w:jc w:val="center"/>
        <w:rPr>
          <w:rFonts w:ascii="Cambria" w:cs="Cambria" w:eastAsia="Cambria" w:hAnsi="Cambria"/>
          <w:color w:val="2e75b5"/>
        </w:rPr>
      </w:pPr>
      <w:r w:rsidDel="00000000" w:rsidR="00000000" w:rsidRPr="00000000">
        <w:rPr>
          <w:rFonts w:ascii="Cambria" w:cs="Cambria" w:eastAsia="Cambria" w:hAnsi="Cambria"/>
          <w:color w:val="2e75b5"/>
          <w:rtl w:val="0"/>
        </w:rPr>
        <w:t xml:space="preserve">ПО НОРМОТВОРЧЕСКИМ ИНИЦИАТИВАМ ГОСУДАРСТВЕННЫХ ОРГАНОВ, КОТОРЫЕ МОГУТ ОКАЗАТЬ ВЛИЯНИЕ НА ГРАЖДАНСКИЕ ПРАВА И ПРАВОВУЮ СРЕДУ ДЛЯ ДЕЯТЕЛЬНОСТИ ОРГАНИЗАЦИЙ ГРАЖДАНСКОГО ОБЩЕСТВА </w:t>
      </w:r>
    </w:p>
    <w:p w:rsidR="00000000" w:rsidDel="00000000" w:rsidP="00000000" w:rsidRDefault="00000000" w:rsidRPr="00000000" w14:paraId="00000004">
      <w:pPr>
        <w:spacing w:after="120" w:line="276" w:lineRule="auto"/>
        <w:ind w:firstLine="720"/>
        <w:jc w:val="center"/>
        <w:rPr>
          <w:rFonts w:ascii="Cambria" w:cs="Cambria" w:eastAsia="Cambria" w:hAnsi="Cambria"/>
          <w:color w:val="2e75b5"/>
        </w:rPr>
      </w:pPr>
      <w:r w:rsidDel="00000000" w:rsidR="00000000" w:rsidRPr="00000000">
        <w:rPr>
          <w:rFonts w:ascii="Cambria" w:cs="Cambria" w:eastAsia="Cambria" w:hAnsi="Cambria"/>
          <w:color w:val="2e75b5"/>
          <w:rtl w:val="0"/>
        </w:rPr>
        <w:t xml:space="preserve">15 марта 2024 года</w:t>
      </w:r>
    </w:p>
    <w:p w:rsidR="00000000" w:rsidDel="00000000" w:rsidP="00000000" w:rsidRDefault="00000000" w:rsidRPr="00000000" w14:paraId="00000005">
      <w:pPr>
        <w:spacing w:after="120" w:line="276" w:lineRule="auto"/>
        <w:ind w:firstLine="720"/>
        <w:jc w:val="center"/>
        <w:rPr>
          <w:rFonts w:ascii="Cambria" w:cs="Cambria" w:eastAsia="Cambria" w:hAnsi="Cambria"/>
          <w:color w:val="2e75b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e75b5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e75b5"/>
          <w:sz w:val="22"/>
          <w:szCs w:val="22"/>
          <w:u w:val="none"/>
          <w:shd w:fill="auto" w:val="clear"/>
          <w:vertAlign w:val="baseline"/>
          <w:rtl w:val="0"/>
        </w:rPr>
        <w:t xml:space="preserve">Оглавление</w:t>
      </w:r>
    </w:p>
    <w:sdt>
      <w:sdtPr>
        <w:id w:val="425668317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760"/>
              <w:tab w:val="right" w:leader="none" w:pos="9850"/>
            </w:tabs>
            <w:spacing w:after="120" w:before="0" w:line="240" w:lineRule="auto"/>
            <w:ind w:left="709" w:right="0" w:hanging="283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3,3,"</w:instrText>
            <w:fldChar w:fldCharType="separate"/>
          </w:r>
          <w:hyperlink w:anchor="_30j0zll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hyperlink>
          <w:hyperlink w:anchor="_30j0zll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_30j0zll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Жогорку Кенеш принял в третьем чтении проект Закона «об иностранных представителях»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760"/>
              <w:tab w:val="right" w:leader="none" w:pos="9850"/>
            </w:tabs>
            <w:spacing w:after="120" w:before="0" w:line="240" w:lineRule="auto"/>
            <w:ind w:left="709" w:right="0" w:hanging="283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3znysh7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hyperlink>
          <w:hyperlink w:anchor="_3znysh7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_3znysh7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Проект Закона «О средствах массовой информации» отозван из парламента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760"/>
              <w:tab w:val="right" w:leader="none" w:pos="9850"/>
            </w:tabs>
            <w:spacing w:after="120" w:before="0" w:line="240" w:lineRule="auto"/>
            <w:ind w:left="709" w:right="0" w:hanging="283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2et92p0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hyperlink>
          <w:hyperlink w:anchor="_2et92p0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_2et92p0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Планируется снижение ставок страховых взносов по государственному социальному страхованию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760"/>
              <w:tab w:val="right" w:leader="none" w:pos="9850"/>
            </w:tabs>
            <w:spacing w:after="120" w:before="0" w:line="240" w:lineRule="auto"/>
            <w:ind w:left="709" w:right="0" w:hanging="283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tyjcwt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hyperlink>
          <w:hyperlink w:anchor="_tyjcwt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_tyjcwt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Инициирован обновленный вариант проекта Закона «О кибербезопасности Кыргызской Республики»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760"/>
              <w:tab w:val="right" w:leader="none" w:pos="9850"/>
            </w:tabs>
            <w:spacing w:after="120" w:before="0" w:line="240" w:lineRule="auto"/>
            <w:ind w:left="709" w:right="0" w:hanging="283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1t3h5sf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hyperlink>
          <w:hyperlink w:anchor="_1t3h5sf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_1t3h5sf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Президент КР подписал поправки в Кодекс о правонарушениях и Закон «О гарантированной государством юридической помощи»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C">
          <w:pPr>
            <w:tabs>
              <w:tab w:val="left" w:leader="none" w:pos="1134"/>
            </w:tabs>
            <w:spacing w:after="120" w:line="276" w:lineRule="auto"/>
            <w:rPr>
              <w:rFonts w:ascii="Cambria" w:cs="Cambria" w:eastAsia="Cambria" w:hAnsi="Cambria"/>
              <w:b w:val="1"/>
              <w:bCs w:val="1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0D">
      <w:pPr>
        <w:rPr>
          <w:rFonts w:ascii="Cambria" w:cs="Cambria" w:eastAsia="Cambria" w:hAnsi="Cambria"/>
          <w:color w:val="2e75b5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numPr>
          <w:ilvl w:val="0"/>
          <w:numId w:val="1"/>
        </w:numPr>
        <w:spacing w:after="120" w:before="0" w:line="276" w:lineRule="auto"/>
        <w:ind w:left="1134" w:hanging="425"/>
        <w:jc w:val="both"/>
        <w:rPr>
          <w:rFonts w:ascii="Cambria" w:cs="Cambria" w:eastAsia="Cambria" w:hAnsi="Cambria"/>
          <w:color w:val="2e75b5"/>
          <w:sz w:val="22"/>
          <w:szCs w:val="22"/>
        </w:rPr>
      </w:pPr>
      <w:bookmarkStart w:colFirst="0" w:colLast="0" w:name="_30j0zll" w:id="1"/>
      <w:bookmarkEnd w:id="1"/>
      <w:r w:rsidDel="00000000" w:rsidR="00000000" w:rsidRPr="00000000">
        <w:rPr>
          <w:rFonts w:ascii="Cambria" w:cs="Cambria" w:eastAsia="Cambria" w:hAnsi="Cambria"/>
          <w:color w:val="2e75b5"/>
          <w:sz w:val="22"/>
          <w:szCs w:val="22"/>
          <w:rtl w:val="0"/>
        </w:rPr>
        <w:t xml:space="preserve">Жогорку Кенеш принял в третьем чтении проект Закона «об иностранных представителях»</w:t>
      </w:r>
    </w:p>
    <w:p w:rsidR="00000000" w:rsidDel="00000000" w:rsidP="00000000" w:rsidRDefault="00000000" w:rsidRPr="00000000" w14:paraId="0000000F">
      <w:pPr>
        <w:spacing w:after="12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bookmarkStart w:colFirst="0" w:colLast="0" w:name="_1fob9te" w:id="2"/>
      <w:bookmarkEnd w:id="2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14 марта 2024 г. Жогорку Кенеш рассмотрел проект Закона «О внесении изменений в Закон Кыргызской Республики «О некоммерческих организациях»» (проект Закона об иностранных представителях) в третьем чтении и провел голосование без предварительного обсуждения. В результате 66 депутатов проголосовали «за», 5 депутатов – «против». Таким образом, проект Закона об иностранных представителях был принят в третьем чтении.  </w:t>
      </w:r>
    </w:p>
    <w:p w:rsidR="00000000" w:rsidDel="00000000" w:rsidP="00000000" w:rsidRDefault="00000000" w:rsidRPr="00000000" w14:paraId="00000010">
      <w:pPr>
        <w:spacing w:after="12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В третьем чтении был принят без каких-либо изменений тот же самый вариант законопроекта, который был принят во втором чтении 22 февраля 2024 год. Наибольшую обеспокоенность представителей НКО вызывают следующие положения законопроекта: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426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Регистрация НКО (получающих иностранное финансирование и занимающихся политической деятельностью) в качестве «НКО-иностранных представителей» (НКО-ИП) в специальном Реестре.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426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 «формам политической деятельности» отнесены участие в любых публичных мероприятиях, дебатах; выступления, обращения к государственным органам, распространение мнений о принимаемых государственными органами решениях, проведение опросов и исследований и другие виды деятельности.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426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Публичный Реестр НКО-ИП должен включать наименование и сведения об учредителях и руководителе НКО-ИП. Кроме того, руководитель НКО-ИП должен подать заявление о включении его в Реестр «иностранных представителей».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426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Обязывает все НКО-ИП проходить ежегодный финансовый аудит и предоставлять результаты аудита в уполномоченный орган (скорее всего, уполномоченным органом будет Министерство юстиции - МЮ).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426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Требует маркировки всех материалов НКО-ИП как «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произведенных, распространенных и (или) направленных некоммерческой организацией, выполняющей функции иностранного представителя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».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426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Наделяет уполномоченный орган правом приостанавливать деятельность НКО-ИП без решения суда на срок до шести месяцев с возможностью последующей ликвидации в судебном порядке за (1) уклонение от регистрации в качестве «иностранного представителя», (2) отсутствие маркировки своих материалов как произведенных/распространенных НКО-ИП или (3) непредоставление в уполномоченный орган аудиторского заключения.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426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Запрещает НКО-ИП, находящейся в стадии приостановления деятельности, использовать свои банковские вклады, за исключением расчетов по хозяйственной деятельности и трудовым договорам, возмещению убытков, причиненных ее действиями, и уплате налогов, сборов и штрафов.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426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Предоставляет МЮ право проводить проверки деятельности НКО-ИП, а также их расходов и иного использования имущества на предмет соответствия уставным целям, запрашивать внутренние документы, получать доступ к информации НКО-ИП из кредитных и иных финансовых организаций, а также участвовать в любых мероприятиях НКО-ИП.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993" w:right="0" w:hanging="426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Требует, чтобы иностранные НКО осуществляли свою деятельность на территории Кыргызской Республики через свои структурные подразделения – зарегистрированные филиалы и представительства.</w:t>
      </w:r>
    </w:p>
    <w:p w:rsidR="00000000" w:rsidDel="00000000" w:rsidP="00000000" w:rsidRDefault="00000000" w:rsidRPr="00000000" w14:paraId="0000001A">
      <w:pPr>
        <w:spacing w:after="120" w:line="276" w:lineRule="auto"/>
        <w:ind w:firstLine="567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В соответствии с Законом КР «О Регламенте Жогорку Кенеша Кыргызской Республики», после принятия законопроекта в третьем чтении парламент в течение 14 рабочих дней должен направить его на подпись Президенту. Президент в течение одного месяца должен либо подписать законопроект, либо вернуть его в парламент с возражениями. Если Президент подпишет законопроект, то он вступит в силу через 10 календарных дней после официального опубликования. Кабинету Министров поручается в течение месяца после опубликования закона разработать соответствующие подзаконные акты, включая процедуры, связанные с новым Реестром НКО-ИП.</w:t>
      </w:r>
    </w:p>
    <w:p w:rsidR="00000000" w:rsidDel="00000000" w:rsidP="00000000" w:rsidRDefault="00000000" w:rsidRPr="00000000" w14:paraId="0000001B">
      <w:pPr>
        <w:spacing w:after="120" w:line="276" w:lineRule="auto"/>
        <w:ind w:firstLine="567"/>
        <w:jc w:val="both"/>
        <w:rPr>
          <w:rFonts w:ascii="Cambria" w:cs="Cambria" w:eastAsia="Cambria" w:hAnsi="Cambria"/>
          <w:i w:val="1"/>
          <w:iCs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14 марта Представительство Европейского Союза, посольства Канады, Франции, Германии, Великобритании и США в КР сделали совместное </w:t>
      </w:r>
      <w:hyperlink r:id="rId7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заявление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, где выразили обеспокоенность принятием законопроекта в третьем чтении. В заявлении они привели следующие аргументы: «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Принятие законопроекта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ставит под угрозу возможность некоммерческих и неправительственных организаций (НПО) действовать свободно, противоречит международным нормам и ставит под угрозу нашу способность оказывать помощь, направленную на улучшение жизни граждан и жителей Кыргызской Республики. Если законопроект будет подписан в его нынешнем виде, он может нанести вред наиболее уязвимым слоям населения, которые нуждаются в таких базовых услугах как питание, здравоохранение и образование, которые предоставляют некоммерческие и неправительственные организации. Мы призываем Президента Жапарова прислушаться к опасениям, высказываемым в стране и за ее пределами и пересмотреть этот законопроект с руководством парламента».</w:t>
      </w:r>
    </w:p>
    <w:p w:rsidR="00000000" w:rsidDel="00000000" w:rsidP="00000000" w:rsidRDefault="00000000" w:rsidRPr="00000000" w14:paraId="0000001C">
      <w:pPr>
        <w:spacing w:after="12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С законопроектом принятым в третьем чтении можно ознакомиться </w:t>
      </w:r>
      <w:hyperlink r:id="rId8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numPr>
          <w:ilvl w:val="0"/>
          <w:numId w:val="1"/>
        </w:numPr>
        <w:spacing w:after="120" w:before="0" w:line="276" w:lineRule="auto"/>
        <w:ind w:left="1134" w:hanging="425"/>
        <w:jc w:val="both"/>
        <w:rPr>
          <w:rFonts w:ascii="Cambria" w:cs="Cambria" w:eastAsia="Cambria" w:hAnsi="Cambria"/>
          <w:sz w:val="22"/>
          <w:szCs w:val="22"/>
        </w:rPr>
      </w:pPr>
      <w:bookmarkStart w:colFirst="0" w:colLast="0" w:name="_3znysh7" w:id="3"/>
      <w:bookmarkEnd w:id="3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Проект Закона «О средствах массовой информации» отозван из парламента  </w:t>
      </w:r>
    </w:p>
    <w:p w:rsidR="00000000" w:rsidDel="00000000" w:rsidP="00000000" w:rsidRDefault="00000000" w:rsidRPr="00000000" w14:paraId="0000001F">
      <w:pPr>
        <w:spacing w:line="276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4 марта 2024 г. Комитет по бюджету, экономической и фискальной политике Жогорку Кенеша </w:t>
      </w:r>
      <w:hyperlink r:id="rId9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рассмотрел и одобрил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проект Закона «О средствах массовой информации» в первом чтении. Инициатором законопроекта является Кабинета Министров.</w:t>
      </w:r>
    </w:p>
    <w:p w:rsidR="00000000" w:rsidDel="00000000" w:rsidP="00000000" w:rsidRDefault="00000000" w:rsidRPr="00000000" w14:paraId="00000020">
      <w:pPr>
        <w:spacing w:before="240" w:line="276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В ходе обсуждения законопроекта депутат Жогорку Кенеша Камила Талиева отметила, что в нем имеются правовые казусы. Также, депутаты Жогорку Кенеша Дастан Бекешев, Марлен Маматалиев, Эльвира Сурабалдиева выразили обеспокоенность касательно отдельных положений законопроекта и предложили доработать его. </w:t>
      </w:r>
    </w:p>
    <w:p w:rsidR="00000000" w:rsidDel="00000000" w:rsidP="00000000" w:rsidRDefault="00000000" w:rsidRPr="00000000" w14:paraId="00000021">
      <w:pPr>
        <w:spacing w:before="240" w:line="276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7 марта Президент КР провел встречу с руководителями средств массовой информации страны, в которой приняли участие более 40 представителей СМИ. В ходе встречи Садыр Жапаров подчеркнул готовность руководства страны к продолжению конструктивного диалога с представителями СМИ для обеспечения прозрачной информационной политики в стране. </w:t>
      </w:r>
    </w:p>
    <w:p w:rsidR="00000000" w:rsidDel="00000000" w:rsidP="00000000" w:rsidRDefault="00000000" w:rsidRPr="00000000" w14:paraId="00000022">
      <w:pPr>
        <w:spacing w:before="240" w:line="276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По результатам совещания, 13 марта 2024 г. проект Закона «О средствах массовой информации» был </w:t>
      </w:r>
      <w:hyperlink r:id="rId10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отозван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из парламента по поручению Президента КР.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numPr>
          <w:ilvl w:val="0"/>
          <w:numId w:val="1"/>
        </w:numPr>
        <w:spacing w:after="120" w:before="0" w:line="276" w:lineRule="auto"/>
        <w:ind w:left="1134" w:hanging="425"/>
        <w:jc w:val="both"/>
        <w:rPr>
          <w:rFonts w:ascii="Cambria" w:cs="Cambria" w:eastAsia="Cambria" w:hAnsi="Cambria"/>
          <w:color w:val="2e75b5"/>
          <w:sz w:val="22"/>
          <w:szCs w:val="22"/>
        </w:rPr>
      </w:pPr>
      <w:bookmarkStart w:colFirst="0" w:colLast="0" w:name="_2et92p0" w:id="4"/>
      <w:bookmarkEnd w:id="4"/>
      <w:r w:rsidDel="00000000" w:rsidR="00000000" w:rsidRPr="00000000">
        <w:rPr>
          <w:rFonts w:ascii="Cambria" w:cs="Cambria" w:eastAsia="Cambria" w:hAnsi="Cambria"/>
          <w:color w:val="2e75b5"/>
          <w:sz w:val="22"/>
          <w:szCs w:val="22"/>
          <w:rtl w:val="0"/>
        </w:rPr>
        <w:t xml:space="preserve">Планируется снижение ставок страховых взносов по государственному социальному страхованию</w:t>
      </w:r>
    </w:p>
    <w:p w:rsidR="00000000" w:rsidDel="00000000" w:rsidP="00000000" w:rsidRDefault="00000000" w:rsidRPr="00000000" w14:paraId="00000025">
      <w:pPr>
        <w:spacing w:line="276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1 марта 2024 г. Президент КР подписал Указ «О создании благоприятной налоговой среды для субъектов предпринимательства и повышении заинтересованности застрахованных лиц в государственном социальном обеспечении». </w:t>
      </w:r>
    </w:p>
    <w:p w:rsidR="00000000" w:rsidDel="00000000" w:rsidP="00000000" w:rsidRDefault="00000000" w:rsidRPr="00000000" w14:paraId="00000026">
      <w:pPr>
        <w:spacing w:line="276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Согласно данному Указу,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«действующие ставки тарифов страховых взносов являются одной из наиболее острых проблем, с которыми сталкиваются представители бизнеса. Уплачиваемые работодателем социальные отчисления значительно превышают суммы налоговых отчислений, тем самым создавая основания для занижения размеров заработной платы работников и способствуя возникновению неблагоприятной экономической среды для развития предпринимательства».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line="276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Указом Кабинету Министров предложено внести на рассмотрение Жогорку Кенеша проекты законов КР, предусматривающие:</w:t>
      </w:r>
    </w:p>
    <w:p w:rsidR="00000000" w:rsidDel="00000000" w:rsidP="00000000" w:rsidRDefault="00000000" w:rsidRPr="00000000" w14:paraId="00000028">
      <w:pPr>
        <w:spacing w:line="276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1) снижение ставки страховых взносов с 27,25% до 12,25% для субъектов предпринимательства, за исключением бюджетных организаций и высокодоходных отраслей (добыча полезных ископаемых; обеспечение (снабжение) электроэнергией, газом, паром и кондиционированным воздухом; информация и связь; реализация подакцизных товаров (алкогольные, табачные изделия и горюче-смазочные материалы); коммерческие банки, специализированные финансово-кредитные или кредитные учреждения);</w:t>
      </w:r>
    </w:p>
    <w:p w:rsidR="00000000" w:rsidDel="00000000" w:rsidP="00000000" w:rsidRDefault="00000000" w:rsidRPr="00000000" w14:paraId="00000029">
      <w:pPr>
        <w:spacing w:line="276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2) ответственность работодателей за сокрытие выплачиваемой работникам заработной платы (дохода);</w:t>
      </w:r>
    </w:p>
    <w:p w:rsidR="00000000" w:rsidDel="00000000" w:rsidP="00000000" w:rsidRDefault="00000000" w:rsidRPr="00000000" w14:paraId="0000002A">
      <w:pPr>
        <w:spacing w:line="276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3) определение требований по установлению заработной платы (дохода) для целей налогообложения и исчисления страховых взносов;</w:t>
      </w:r>
    </w:p>
    <w:p w:rsidR="00000000" w:rsidDel="00000000" w:rsidP="00000000" w:rsidRDefault="00000000" w:rsidRPr="00000000" w14:paraId="0000002B">
      <w:pPr>
        <w:spacing w:after="120" w:line="276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4) установление норматива отчислений от подоходного налога в республиканский бюджет.</w:t>
      </w:r>
    </w:p>
    <w:p w:rsidR="00000000" w:rsidDel="00000000" w:rsidP="00000000" w:rsidRDefault="00000000" w:rsidRPr="00000000" w14:paraId="0000002C">
      <w:pPr>
        <w:spacing w:after="120" w:line="276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Ожидается, что после принятия соответствующего закона, НКО тоже будут платить страховые вносы по государственному социальному страхованию по сниженным ставкам в сумме 12,25% из них платежи работника составят – 10%, платежи работодателя – 2,25%.</w:t>
      </w:r>
    </w:p>
    <w:p w:rsidR="00000000" w:rsidDel="00000000" w:rsidP="00000000" w:rsidRDefault="00000000" w:rsidRPr="00000000" w14:paraId="0000002D">
      <w:pPr>
        <w:spacing w:line="276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Ознакомиться с текстом данного Указа Президента можно </w:t>
      </w:r>
      <w:hyperlink r:id="rId11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numPr>
          <w:ilvl w:val="0"/>
          <w:numId w:val="1"/>
        </w:numPr>
        <w:spacing w:after="120" w:before="0" w:line="276" w:lineRule="auto"/>
        <w:ind w:left="1134" w:hanging="425"/>
        <w:jc w:val="both"/>
        <w:rPr>
          <w:rFonts w:ascii="Cambria" w:cs="Cambria" w:eastAsia="Cambria" w:hAnsi="Cambria"/>
          <w:sz w:val="22"/>
          <w:szCs w:val="22"/>
        </w:rPr>
      </w:pPr>
      <w:bookmarkStart w:colFirst="0" w:colLast="0" w:name="_tyjcwt" w:id="5"/>
      <w:bookmarkEnd w:id="5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Инициирован обновленный вариант проекта Закона «О кибербезопасности Кыргызской Республики»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 марта 2024 г. на общественное обсуждение был вынесен обновленный вариант проекта Закона «О кибербезопасности Кыргызской Республики». Инициатором данного законопроекта является Кабинета Министров. Согласно справке-обоснованию, данный проект закона был разработан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«в целях установления правовых основ единой системы кибербезопасности, целью которой является защита личности, общества и государства путем обеспечения цифровой устойчивости информационной инфраструктуры КР».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Законопроект содержит следующие положения: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3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3dy6vkm" w:id="6"/>
      <w:bookmarkEnd w:id="6"/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полномочия Кабинета Министров, координирующего органа в сфере обеспечения кибербезопасности, уполномоченного государственного органа в сфере цифрового развития, а также других государственных органов и органов местного самоуправления;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координирующим органом в сфере обеспечения кибербезопасности предлагается установить уполномоченный государственный орган в сфере обеспечения национальной безопасности;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основные меры по обеспечению кибербезопасности, которые являются необходимым условием безопасной и устойчивой цифровизации;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проведение внутреннего, государственного и независимого аудита кибербезопасности, а также порядок проведение сертификации средств защиты информации;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порядок международного сотрудничества в сфере кибербезопасности, а также приоритет участия отечественных производителей в создании системы кибербезопасности;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143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 другие положения.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Текст законопроекта в значительной степени повторяет текст проекта Закона «О кибербезопасности Кыргызской Республики», предложенный Кабинетом Министров 8 декабря 2023 г., о котором упоминалось в Информационном бюллетене №33. Ключевыми новшествами новой версии законопроекта являются - расширение полномочий Кабинета Министров и координирующего органа в сфере обеспечения кибербезопасности и некоторые другие положения.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Ознакомиться с текстом новой редакции законопроекта, справкой-обоснованием к нему и принять участие в его обсуждении можно </w:t>
      </w:r>
      <w:hyperlink r:id="rId12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numPr>
          <w:ilvl w:val="0"/>
          <w:numId w:val="1"/>
        </w:numPr>
        <w:spacing w:after="120" w:before="0" w:line="276" w:lineRule="auto"/>
        <w:ind w:left="1134" w:hanging="425"/>
        <w:jc w:val="both"/>
        <w:rPr>
          <w:rFonts w:ascii="Cambria" w:cs="Cambria" w:eastAsia="Cambria" w:hAnsi="Cambria"/>
          <w:sz w:val="22"/>
          <w:szCs w:val="22"/>
        </w:rPr>
      </w:pPr>
      <w:bookmarkStart w:colFirst="0" w:colLast="0" w:name="_1t3h5sf" w:id="7"/>
      <w:bookmarkEnd w:id="7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Президент подписал поправки в Кодекс о правонарушениях и Закон «О гарантированной государством юридической помощи»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28 февраля 2024 г. Президент подписал Закон «О внесении изменений в некоторые законодательные акты Кыргызской Республики (в Кодекс Кыргызской Республики о правонарушениях, Закон Кыргызской Республики «О гарантированной государством юридической помощи»)». Проект данного закона был принят Жогорку Кенешем 10 января 2024 года.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Данным Законом дополнена норма Кодекса КР о правонарушениях, которая уточняет, что лицо, привлекаемое к ответственности за совершение правонарушения, имеет право на квалифицированную юридическую помощь за счет государства в порядке, установленном законодательством о гарантированной государством юридической помощи.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Также, принятым Законом внесены изменения в Закон КР «О гарантированной государством юридической помощи», согласно которым: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статус, ведение реестра и порядок деятельности пара-юристов определяются Кабинетом Министров;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дополнен перечень лиц, имеющих право на получение квалифицированной юридической помощи в рамках административного судопроизводства (в том числе иностранным гражданам, лицам без гражданства и беженцам);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определен перечень оснований для отказа в предоставлении квалифицированной юридической помощи по уголовным, гражданским и административным делам, а также порядок обжалования данного отказа;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определен перечень мер воздействия, применяемых к адвокату, а также порядок обжалования данных мер;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 другие.</w:t>
      </w:r>
    </w:p>
    <w:p w:rsidR="00000000" w:rsidDel="00000000" w:rsidP="00000000" w:rsidRDefault="00000000" w:rsidRPr="00000000" w14:paraId="00000044">
      <w:pPr>
        <w:spacing w:before="240" w:line="276" w:lineRule="auto"/>
        <w:ind w:firstLine="706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С текстом данного Закона можно ознакомиться </w:t>
      </w:r>
      <w:hyperlink r:id="rId13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72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before="240" w:lineRule="auto"/>
        <w:ind w:firstLine="706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sectPr>
      <w:footerReference r:id="rId14" w:type="default"/>
      <w:footerReference r:id="rId15" w:type="first"/>
      <w:pgSz w:h="15840" w:w="12240" w:orient="portrait"/>
      <w:pgMar w:bottom="851" w:top="1135" w:left="1530" w:right="85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464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/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president.kg/news/all/25094" TargetMode="External"/><Relationship Id="rId10" Type="http://schemas.openxmlformats.org/officeDocument/2006/relationships/hyperlink" Target="https://president.kg/news/all/25131" TargetMode="External"/><Relationship Id="rId13" Type="http://schemas.openxmlformats.org/officeDocument/2006/relationships/hyperlink" Target="https://icnlalliance-my.sharepoint.com/:w:/g/personal/akurmanalieva_icnlalliance_kg/EWxzUEh9cvBGjKdx-JwxgLABdB3jvGRBt-T7RZNMWc2qcw?e=juZZYz" TargetMode="External"/><Relationship Id="rId12" Type="http://schemas.openxmlformats.org/officeDocument/2006/relationships/hyperlink" Target="https://kenesh.kg/bills/649254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kenesh.kg/posts/7510" TargetMode="External"/><Relationship Id="rId15" Type="http://schemas.openxmlformats.org/officeDocument/2006/relationships/footer" Target="foot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kg.usembassy.gov/ru/joint-statement/?fbclid=IwAR0rTWu6vnHSeLy4rSoa5hsQrqfIxgWk-3WHugNvJoEruf6iu_Tz4YMgYEc" TargetMode="External"/><Relationship Id="rId8" Type="http://schemas.openxmlformats.org/officeDocument/2006/relationships/hyperlink" Target="https://icnlalliance-my.sharepoint.com/:w:/g/personal/akurmanalieva_icnlalliance_kg/EV64GRYOXSdFmwX0VNfTRigBlzmu-jB1d1WJJzSz1l4k1A?e=AGJ7V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6b36a958e77e425c7cd55351a1eb62c8c09a3e93cf1c21db09815d22f502bdad</vt:lpwstr>
  </property>
  <property fmtid="{D5CDD505-2E9C-101B-9397-08002B2CF9AE}" pid="3" name="ContentTypeId">
    <vt:lpwstr>0x0101007137CFD7E6B38C47B6A41708AA13AD73</vt:lpwstr>
  </property>
</Properties>
</file>