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120093" cy="81749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93" cy="8174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ind w:firstLine="720"/>
        <w:jc w:val="center"/>
        <w:rPr>
          <w:rFonts w:ascii="Cambria" w:cs="Cambria" w:eastAsia="Cambria" w:hAnsi="Cambria"/>
          <w:b w:val="1"/>
          <w:bCs w:val="1"/>
          <w:color w:val="2e75b5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2e75b5"/>
          <w:rtl w:val="0"/>
        </w:rPr>
        <w:t xml:space="preserve">ИНФОРМАЦИОННЫЙ БЮЛЛЕТЕНЬ N 52</w:t>
      </w:r>
    </w:p>
    <w:p w:rsidR="00000000" w:rsidDel="00000000" w:rsidP="00000000" w:rsidRDefault="00000000" w:rsidRPr="00000000" w14:paraId="00000003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ПО НОРМОТВОРЧЕСКИМ ИНИЦИАТИВАМ ГОСУДАРСТВЕННЫХ ОРГАНОВ, КОТОРЫЕ МОГУТ ОКАЗАТЬ ВЛИЯНИЕ НА ГРАЖДАНСКИЕ ПРАВА И ПРАВОВУЮ СРЕДУ ДЛЯ ДЕЯТЕЛЬНОСТИ ОРГАНИЗАЦИЙ ГРАЖДАНСКОГО ОБЩЕСТВА </w:t>
      </w:r>
    </w:p>
    <w:p w:rsidR="00000000" w:rsidDel="00000000" w:rsidP="00000000" w:rsidRDefault="00000000" w:rsidRPr="00000000" w14:paraId="00000004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Fonts w:ascii="Cambria" w:cs="Cambria" w:eastAsia="Cambria" w:hAnsi="Cambria"/>
          <w:color w:val="2e75b5"/>
          <w:rtl w:val="0"/>
        </w:rPr>
        <w:t xml:space="preserve">30 апреля 2024 года</w:t>
      </w:r>
    </w:p>
    <w:p w:rsidR="00000000" w:rsidDel="00000000" w:rsidP="00000000" w:rsidRDefault="00000000" w:rsidRPr="00000000" w14:paraId="00000005">
      <w:pPr>
        <w:spacing w:after="120" w:line="276" w:lineRule="auto"/>
        <w:ind w:firstLine="720"/>
        <w:jc w:val="center"/>
        <w:rPr>
          <w:rFonts w:ascii="Cambria" w:cs="Cambria" w:eastAsia="Cambria" w:hAnsi="Cambria"/>
          <w:color w:val="2e75b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2e75b5"/>
          <w:sz w:val="22"/>
          <w:szCs w:val="22"/>
          <w:u w:val="none"/>
          <w:shd w:fill="auto" w:val="clear"/>
          <w:vertAlign w:val="baseline"/>
          <w:rtl w:val="0"/>
        </w:rPr>
        <w:t xml:space="preserve">Оглавление</w:t>
      </w:r>
    </w:p>
    <w:sdt>
      <w:sdtPr>
        <w:id w:val="73718954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30j0zll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30j0zll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_30j0zll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Новости по Закону об иностранных представителях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hyperlink>
          <w:hyperlink w:anchor="_1fob9te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_1fob9te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 общественное обсуждение вынесен проект Закона КР «О внесении изменений в Закон Кыргызской Республики «О нормативных правовых актах Кыргызской Республики»»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3znysh7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_3znysh7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Проект Закона «О кибербезопасности Кыргызской Республики» принят в первом чтении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……………………………………………………………………………………….3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2et92p0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_2et92p0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На общественное обсуждение вынесен проект Постановления Кабинета Министров «Об утверждении Положения о порядке осуществления, стимулирования и поощрения молодежной волонтерской деятельности»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1760"/>
              <w:tab w:val="right" w:leader="none" w:pos="9850"/>
            </w:tabs>
            <w:spacing w:after="120" w:before="0" w:line="240" w:lineRule="auto"/>
            <w:ind w:left="709" w:right="0" w:hanging="283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3dy6vk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hyperlink>
          <w:r w:rsidDel="00000000" w:rsidR="00000000" w:rsidRPr="00000000">
            <w:fldChar w:fldCharType="begin"/>
            <w:instrText xml:space="preserve"> PAGEREF _3dy6vkm \h </w:instrText>
            <w:fldChar w:fldCharType="separate"/>
          </w: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Жогорку Кенеш принял во втором чтении проект Закона «О внесении изменений в Закон КР «О Регламенте Жогорку Кенеша Кыргызской Республики»»</w:t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tabs>
              <w:tab w:val="left" w:leader="none" w:pos="1134"/>
            </w:tabs>
            <w:spacing w:after="120" w:line="276" w:lineRule="auto"/>
            <w:rPr>
              <w:rFonts w:ascii="Cambria" w:cs="Cambria" w:eastAsia="Cambria" w:hAnsi="Cambria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D">
      <w:pPr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498"/>
        </w:tabs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color w:val="2e75b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numPr>
          <w:ilvl w:val="0"/>
          <w:numId w:val="1"/>
        </w:numPr>
        <w:spacing w:after="12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Новости по Закону об иностранных представителях</w:t>
      </w:r>
    </w:p>
    <w:p w:rsidR="00000000" w:rsidDel="00000000" w:rsidP="00000000" w:rsidRDefault="00000000" w:rsidRPr="00000000" w14:paraId="00000020">
      <w:pPr>
        <w:spacing w:line="276" w:lineRule="auto"/>
        <w:ind w:firstLine="720"/>
        <w:jc w:val="both"/>
        <w:rPr>
          <w:rFonts w:ascii="Cambria" w:cs="Cambria" w:eastAsia="Cambria" w:hAnsi="Cambria"/>
          <w:color w:val="050505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50505"/>
          <w:sz w:val="22"/>
          <w:szCs w:val="22"/>
          <w:highlight w:val="white"/>
          <w:rtl w:val="0"/>
        </w:rPr>
        <w:t xml:space="preserve">Как известно, Закон «О внесении изменений в Закон Кыргызской Республики «О некоммерческих организациях»» (Закон об иностранных представителях) вступил в силу 16 апреля 2024 г. Кабинету Министров было поручено в течение месяца разработать  и утвердить соответствующие подзаконные акты, включая процедуры, связанные с новым Реестром НКО – «иностранных представителей» и проведением проверок НКО – «иностранных представителей».</w:t>
      </w:r>
    </w:p>
    <w:p w:rsidR="00000000" w:rsidDel="00000000" w:rsidP="00000000" w:rsidRDefault="00000000" w:rsidRPr="00000000" w14:paraId="00000021">
      <w:pPr>
        <w:spacing w:line="276" w:lineRule="auto"/>
        <w:ind w:firstLine="720"/>
        <w:jc w:val="both"/>
        <w:rPr>
          <w:rFonts w:ascii="Cambria" w:cs="Cambria" w:eastAsia="Cambria" w:hAnsi="Cambria"/>
          <w:color w:val="050505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firstLine="720"/>
        <w:jc w:val="both"/>
        <w:rPr>
          <w:rFonts w:ascii="Cambria" w:cs="Cambria" w:eastAsia="Cambria" w:hAnsi="Cambria"/>
          <w:color w:val="050505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50505"/>
          <w:sz w:val="22"/>
          <w:szCs w:val="22"/>
          <w:highlight w:val="white"/>
          <w:rtl w:val="0"/>
        </w:rPr>
        <w:t xml:space="preserve">26 апреля 2024 г. заместитель Председателя Кабинета Министров КР Байсалов Э. </w:t>
      </w:r>
      <w:hyperlink r:id="rId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highlight w:val="white"/>
            <w:u w:val="single"/>
            <w:rtl w:val="0"/>
          </w:rPr>
          <w:t xml:space="preserve">встретился</w:t>
        </w:r>
      </w:hyperlink>
      <w:r w:rsidDel="00000000" w:rsidR="00000000" w:rsidRPr="00000000">
        <w:rPr>
          <w:rFonts w:ascii="Cambria" w:cs="Cambria" w:eastAsia="Cambria" w:hAnsi="Cambria"/>
          <w:color w:val="050505"/>
          <w:sz w:val="22"/>
          <w:szCs w:val="22"/>
          <w:highlight w:val="white"/>
          <w:rtl w:val="0"/>
        </w:rPr>
        <w:t xml:space="preserve"> с представителями более 50 некоммерческих организаций в стране. Основной темой обсуждения стал Закон об иностранных представителях. В ходе встречи заместитель Председателя Кабинета Министров КР Байсалов Э. отметил, что разрабатываемые в данное время подзаконные акты будут направлены на обеспечение прав и свобод граждан, некоммерческих организаций, а также на их активное участие в общественной жизни страны.</w:t>
      </w:r>
    </w:p>
    <w:p w:rsidR="00000000" w:rsidDel="00000000" w:rsidP="00000000" w:rsidRDefault="00000000" w:rsidRPr="00000000" w14:paraId="00000023">
      <w:pPr>
        <w:spacing w:before="240" w:line="276" w:lineRule="auto"/>
        <w:ind w:left="720" w:firstLine="0"/>
        <w:jc w:val="both"/>
        <w:rPr>
          <w:rFonts w:ascii="Cambria" w:cs="Cambria" w:eastAsia="Cambria" w:hAnsi="Cambria"/>
          <w:color w:val="050505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50505"/>
          <w:sz w:val="22"/>
          <w:szCs w:val="22"/>
          <w:highlight w:val="white"/>
          <w:rtl w:val="0"/>
        </w:rPr>
        <w:t xml:space="preserve">Ознакомиться с текстом Закона об иностранных представителях можно </w:t>
      </w:r>
      <w:hyperlink r:id="rId8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highlight w:val="white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color w:val="050505"/>
          <w:sz w:val="22"/>
          <w:szCs w:val="22"/>
          <w:highlight w:val="white"/>
          <w:rtl w:val="0"/>
        </w:rPr>
        <w:t xml:space="preserve">, а с нашим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ambria" w:cs="Cambria" w:eastAsia="Cambria" w:hAnsi="Cambria"/>
          <w:color w:val="050505"/>
          <w:sz w:val="22"/>
          <w:szCs w:val="22"/>
          <w:highlight w:val="white"/>
        </w:rPr>
      </w:pPr>
      <w:r w:rsidDel="00000000" w:rsidR="00000000" w:rsidRPr="00000000">
        <w:rPr>
          <w:rFonts w:ascii="Cambria" w:cs="Cambria" w:eastAsia="Cambria" w:hAnsi="Cambria"/>
          <w:color w:val="050505"/>
          <w:sz w:val="22"/>
          <w:szCs w:val="22"/>
          <w:highlight w:val="white"/>
          <w:rtl w:val="0"/>
        </w:rPr>
        <w:t xml:space="preserve">обновленным анализом Закона </w:t>
      </w:r>
      <w:hyperlink r:id="rId9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highlight w:val="white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color w:val="050505"/>
          <w:sz w:val="22"/>
          <w:szCs w:val="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1fob9te" w:id="2"/>
      <w:bookmarkEnd w:id="2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На общественное обсуждение вынесен проект Закона КР «О внесении изменений в Закон Кыргызской Республики «О нормативных правовых актах Кыргызской Республики»» </w:t>
      </w:r>
    </w:p>
    <w:p w:rsidR="00000000" w:rsidDel="00000000" w:rsidP="00000000" w:rsidRDefault="00000000" w:rsidRPr="00000000" w14:paraId="00000027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26 апреля 2024 г. в Едином портале общественного обсуждения проектов нормативных правовых актов КР (далее – Единый портал) на общественное обсуждение был вынесен проект Закона КР «О внесении изменений в Закон Кыргызской Республики «О нормативных правовых актах Кыргызской Республики»».</w:t>
      </w:r>
    </w:p>
    <w:p w:rsidR="00000000" w:rsidDel="00000000" w:rsidP="00000000" w:rsidRDefault="00000000" w:rsidRPr="00000000" w14:paraId="00000028">
      <w:pPr>
        <w:spacing w:before="24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справке-обоснованию, данный законопроект был разработан в целях устранения имеющихся противоречий и проблем в правоприменительной практике нормотворческой деятельности государственных органов и органов местного самоуправления и направлен на повышение качества принимаемых нормативных правовых актов.</w:t>
      </w:r>
    </w:p>
    <w:p w:rsidR="00000000" w:rsidDel="00000000" w:rsidP="00000000" w:rsidRDefault="00000000" w:rsidRPr="00000000" w14:paraId="00000029">
      <w:pPr>
        <w:spacing w:before="24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ab/>
        <w:t xml:space="preserve">Законопроектом предлагается: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Сделать обязательным проведение общественного обсуждения по проектам нормативных правовых актов (НПА) путем размещения проектов в Едином портале. Данное требование не будет распространяться на проекты НПА, вытекающие из решений Конституционного суда, предусматривающих внесение изменений редакционно-технического характера, регулирующие общественные отношения в области обеспечения обороны и национальной безопасности, защиты государственных секретов, военно-технического сотрудничества, имеющие временный характер, со сроком действия менее одного года, а также направленных на достижение и поддержание стабильности цен, реализацию денежно-кредитной политики, обеспечение эффективности, безопасности и надежности банковской и платежных систем.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Сократить срок общественного обсуждения НПА с «не менее одного месяца» до «не более 20 календарных дней». Более того, предоставить возможность сократить этот срок до 10 календарных дней в случае организации дополнительных мероприятий, направленных на повышение эффективности общественного обсуждения. Данные мероприятия могут включать консультационные и экспертные обсуждения с возможностью представления участниками замечаний и предложений к проекту нормативного правового акта, в том числе с информированием в средствах массовой информации о проведении данных дополнительных мероприятий на официальном сайте государственного органа (должностного лица) или иными способами.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Ввести норму о правовом регулировании общественных отношений в пилотном режиме, согласно которой в целях апробирования регулирования новых общественных отношений Президент или Кабинет Министров вправе сроком до одного года ввести проект пилотного регулирования.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Признать утратившим силу часть 4 статьи 6 Закона, которая предусматривала что в случае расхождения текста Конституции и иных нормативных правовых актов КР на государственном языке с текстом на официальном языке, текст на официальном языке считается оригиналом.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План законопроектных работ Кабинета Министров формировать на сессионный период работы Жогорку Кенеша.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Уполномочить нормотворческий орган (должностное лицо), принявшее (издавшее) нормативный правовой акт проводить мониторинг и оценку НПА;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иные положения.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709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законопроекта и сопроводительными документами к нему можно </w:t>
      </w:r>
      <w:hyperlink r:id="rId10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Представители гражданского общества и другие заинтересованные лица могут оставить свои комментарии к данному законопроекту в Едином портале до 25 мая 2024 г.</w:t>
      </w:r>
    </w:p>
    <w:p w:rsidR="00000000" w:rsidDel="00000000" w:rsidP="00000000" w:rsidRDefault="00000000" w:rsidRPr="00000000" w14:paraId="00000032">
      <w:pPr>
        <w:spacing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znysh7" w:id="3"/>
      <w:bookmarkEnd w:id="3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Проект Закона «О кибербезопасности Кыргызской Республики» принят в первом чтении </w:t>
      </w:r>
    </w:p>
    <w:p w:rsidR="00000000" w:rsidDel="00000000" w:rsidP="00000000" w:rsidRDefault="00000000" w:rsidRPr="00000000" w14:paraId="00000034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Как ранее упоминалось в </w:t>
      </w:r>
      <w:hyperlink r:id="rId11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Информационном бюллетене №49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5 марта 2024 г. на общественное обсуждение был вынесен обновленный вариант проекта Закона «О кибербезопасности Кыргызской Республики», инициированный Кабинетом Министров. </w:t>
      </w:r>
    </w:p>
    <w:p w:rsidR="00000000" w:rsidDel="00000000" w:rsidP="00000000" w:rsidRDefault="00000000" w:rsidRPr="00000000" w14:paraId="00000035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hyperlink r:id="rId12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16 апреля 2024 г.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и </w:t>
      </w:r>
      <w:hyperlink r:id="rId13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22 апреля 2024 г.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Комитет по международным делам, обороне, безопасности и миграции, и Комитет по транспорту, коммуникациям, архитектуре и строительству Жогорку Кенеша КР рассмотрели и одобрили данный законопроект для его принятия в первом чтении. </w:t>
      </w:r>
    </w:p>
    <w:p w:rsidR="00000000" w:rsidDel="00000000" w:rsidP="00000000" w:rsidRDefault="00000000" w:rsidRPr="00000000" w14:paraId="00000036">
      <w:pPr>
        <w:spacing w:after="120" w:line="276" w:lineRule="auto"/>
        <w:ind w:firstLine="709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24 апреля 2024 г. Жогорку Кенеш рассмотрел данный законопроект в первом чтении. В ходе обсуждения депутат Улугбек Ормонов отметил необходимость подготовки специалистов в области кибербезопасности и информационной безопасности. Также, депутат Русланбек Жакышев подчеркнул важность законопроекта и поднял вопросы, связанные с защитой персональных данных государственных учреждений и банков. По результатам обсуждения законопроект был принят в первом чтении.</w:t>
      </w:r>
    </w:p>
    <w:p w:rsidR="00000000" w:rsidDel="00000000" w:rsidP="00000000" w:rsidRDefault="00000000" w:rsidRPr="00000000" w14:paraId="00000037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 текстом законопроекта и сопроводительными документами к нему можно ознакомиться  </w:t>
      </w:r>
      <w:hyperlink r:id="rId14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8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2et92p0" w:id="4"/>
      <w:bookmarkEnd w:id="4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На общественное обсуждение вынесен проект Постановления Кабинета Министров «Об утверждении Положения о порядке осуществления, стимулирования и поощрения молодежной волонтерской деятельности»</w:t>
      </w:r>
    </w:p>
    <w:p w:rsidR="00000000" w:rsidDel="00000000" w:rsidP="00000000" w:rsidRDefault="00000000" w:rsidRPr="00000000" w14:paraId="0000003A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tyjcwt" w:id="5"/>
      <w:bookmarkEnd w:id="5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22 апреля 2024 г. в Едином портале на общественное обсуждение был вынесен проект Постановления Кабинета Министров «Об утверждении Положения о порядке осуществления, стимулирования и поощрения молодежной волонтерской деятельности», инициатором которого является Министерство культуры,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информации, спорта и молодежной политики КР. Согласно справке-обоснованию, целью данного подзаконного акта является реализация статьи 16 Закона КР «О молодежи», а также определение порядка осуществления, стимулирования и поощрения молодежной волонтерской деятельности.</w:t>
      </w:r>
    </w:p>
    <w:p w:rsidR="00000000" w:rsidDel="00000000" w:rsidP="00000000" w:rsidRDefault="00000000" w:rsidRPr="00000000" w14:paraId="0000003B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В соответствии с проектом Положения, молодежная волонтерская деятельность осуществляется на добровольных началах в различных формах без получения денежного вознаграждения, в ходе которой волонтеры могут приобретать знания, опыт, навыки и демонстрировать свои способности. Проект Положения устанавливает две меры стимулирования волонтерской деятельности: творческо-организационную (направленная на получение новых знаний, навыков, умений, опыта профессиональной деятельности и карьерного роста) и социально-психологическую (включает в себя общественное признание, награды, благодарности и другие меры).</w:t>
      </w:r>
    </w:p>
    <w:p w:rsidR="00000000" w:rsidDel="00000000" w:rsidP="00000000" w:rsidRDefault="00000000" w:rsidRPr="00000000" w14:paraId="0000003C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Данные меры стимулирования могут быть выражены в следующих формах: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Образовательная (предоставление волонтерам возможности участия в образовательных программах и мероприятиях на бесплатной или льготной основе, приобретения опыта работы по различным направлениям деятельности).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Организация стажировок волонтеров по различным направлениям деятельности.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Осуществление консультационной, образовательной поддержки волонтерских организаций (объединений), волонтеров.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Информационная (создание системы информационного сопровождения деятельности волонтеров, популяризация в средствах массовой информации конкретных примеров молодежной волонтерской деятельности, распространение информации о формах и преимуществах участия в волонтерской деятельности в местных средствах массовой информации, на официальных сайтах уполномоченного государственного органа, поощрение через социальное признание - оценку заслуг волонтеров по достоинству со стороны государства и общества).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Организация награждения отличившихся волонтеров и волонтерских организаций наградами, почетными грамотами и благодарственными письмами уполномоченного органа в сфере молодежной политики и других государственных органов.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Признание труда волонтеров через благодарственные письма и рекомендации для дальнейшей профессиональной деятельности.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Ознакомиться с текстом проекта Постановления и сопроводительными документами к нему можно </w:t>
      </w:r>
      <w:hyperlink r:id="rId15">
        <w:r w:rsidDel="00000000" w:rsidR="00000000" w:rsidRPr="00000000">
          <w:rPr>
            <w:rFonts w:ascii="Cambria" w:cs="Cambria" w:eastAsia="Cambria" w:hAnsi="Cambria"/>
            <w:b w:val="0"/>
            <w:bCs w:val="0"/>
            <w:i w:val="0"/>
            <w:iCs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Представители гражданского общества и другие заинтересованные лица могут оставить свои комментарии к проекту данного подзаконного акта в Едином портале до 21 мая 2024 г.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numPr>
          <w:ilvl w:val="0"/>
          <w:numId w:val="1"/>
        </w:numPr>
        <w:spacing w:after="120" w:before="0" w:line="276" w:lineRule="auto"/>
        <w:ind w:left="1134" w:hanging="425"/>
        <w:jc w:val="both"/>
        <w:rPr>
          <w:rFonts w:ascii="Cambria" w:cs="Cambria" w:eastAsia="Cambria" w:hAnsi="Cambria"/>
          <w:color w:val="2e75b5"/>
          <w:sz w:val="22"/>
          <w:szCs w:val="22"/>
        </w:rPr>
      </w:pPr>
      <w:bookmarkStart w:colFirst="0" w:colLast="0" w:name="_3dy6vkm" w:id="6"/>
      <w:bookmarkEnd w:id="6"/>
      <w:r w:rsidDel="00000000" w:rsidR="00000000" w:rsidRPr="00000000">
        <w:rPr>
          <w:rFonts w:ascii="Cambria" w:cs="Cambria" w:eastAsia="Cambria" w:hAnsi="Cambria"/>
          <w:color w:val="2e75b5"/>
          <w:sz w:val="22"/>
          <w:szCs w:val="22"/>
          <w:rtl w:val="0"/>
        </w:rPr>
        <w:t xml:space="preserve">Жогорку Кенеш принял во втором чтении проект Закона «О внесении изменений в Закон КР «О Регламенте Жогорку Кенеша Кыргызской Республики»» </w:t>
      </w:r>
    </w:p>
    <w:p w:rsidR="00000000" w:rsidDel="00000000" w:rsidP="00000000" w:rsidRDefault="00000000" w:rsidRPr="00000000" w14:paraId="00000046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17 апреля 2024 г. Жогорку Кенеш </w:t>
      </w:r>
      <w:hyperlink r:id="rId16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рассмотрел и принял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во втором чтении проект Закона КР «О внесении изменений в Закон Кыргызской Республики «О Регламенте Жогорку Кенеша Кыргызской Республики»». Инициаторами законопроекта являются депутаты Жогорку Кенеша Маматалиев М., Азыгалиев Н. </w:t>
      </w:r>
    </w:p>
    <w:p w:rsidR="00000000" w:rsidDel="00000000" w:rsidP="00000000" w:rsidRDefault="00000000" w:rsidRPr="00000000" w14:paraId="00000047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Согласно справке-обоснованию, данный законопроект направлен на приведение норм Закона КР «О Регламенте Жогорку Кенеша Кыргызской Республики» в соответствие с некоторыми нормативными правовыми актами КР, а также установление правильной взаимосвязи содержания статей и внесение уточняющих норм. </w:t>
      </w:r>
    </w:p>
    <w:p w:rsidR="00000000" w:rsidDel="00000000" w:rsidP="00000000" w:rsidRDefault="00000000" w:rsidRPr="00000000" w14:paraId="00000048">
      <w:pPr>
        <w:spacing w:after="120"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Законопроектом предлагается: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уполномочить ответственный комитет продлевать сроки между тремя чтениями законопроектов с одного месяца до трех месяцев;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уменьшить количество членов в составе профильных комитетов Жогорку Кенеша от одной фракции с 5 до 3 человек;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уполномочить комитет выносить заключения и решения путем оформления листа согласования, содержащего результаты поименного опроса с фиксацией подписей членов комитета с мнением "за" или "против" по соответствующему вопросу при рассмотрении законопроектов и вопросов (которые не относятся к законопроектам) не терпящих отлагательств и не требующих общественного обсуждения;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уполномочить членов временной комиссии своим решением избирать председателя и его заместителя(-ей) из своего состава;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добавить инициатора законопроекта, если им является депутат Жогорку Кенеша, в круг должностных лиц, с которыми структурное подразделение Аппарата ЖК, ответственное за выпуск нормативных правовых актов, согласовывает окончательный текст принятого Жогорку Кенешем проекта закона;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считать заседание Жогорку Кенеша и его органов несостоявшимся, если по истечении объявленного на 15 минут перерыва, после регистрации депутатов, отсутствует кворум;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уменьшить срок письменного ответа государственного органа или должностного лица, к которым обращается с запросом депутат, с одного месяца до 14 рабочих дней;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уполномочить Жогорку Кенеш заслушивать информацию Кабинета Министров по общественно-значимым вопросам по мере необходимости;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перенести с четверга на среду заседания Жогорку Кенеша в рамках темы "Разное" для рассмотрения вопросов депутатов к постоянному представителю Президента и Кабинета Министров в Жогорку Кенеше;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другие положения.</w:t>
      </w:r>
    </w:p>
    <w:p w:rsidR="00000000" w:rsidDel="00000000" w:rsidP="00000000" w:rsidRDefault="00000000" w:rsidRPr="00000000" w14:paraId="00000053">
      <w:pPr>
        <w:spacing w:line="276" w:lineRule="auto"/>
        <w:ind w:firstLine="720"/>
        <w:jc w:val="both"/>
        <w:rPr>
          <w:rFonts w:ascii="Cambria" w:cs="Cambria" w:eastAsia="Cambria" w:hAnsi="Cambria"/>
          <w:sz w:val="22"/>
          <w:szCs w:val="22"/>
        </w:rPr>
      </w:pPr>
      <w:bookmarkStart w:colFirst="0" w:colLast="0" w:name="_1t3h5sf" w:id="7"/>
      <w:bookmarkEnd w:id="7"/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Ознакомиться с текстом законопроекта, а также с сопроводительными документами к нему можно </w:t>
      </w:r>
      <w:hyperlink r:id="rId17">
        <w:r w:rsidDel="00000000" w:rsidR="00000000" w:rsidRPr="00000000">
          <w:rPr>
            <w:rFonts w:ascii="Cambria" w:cs="Cambria" w:eastAsia="Cambria" w:hAnsi="Cambria"/>
            <w:color w:val="0563c1"/>
            <w:sz w:val="22"/>
            <w:szCs w:val="22"/>
            <w:u w:val="single"/>
            <w:rtl w:val="0"/>
          </w:rPr>
          <w:t xml:space="preserve">здесь</w:t>
        </w:r>
      </w:hyperlink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54">
      <w:pPr>
        <w:pStyle w:val="Heading3"/>
        <w:spacing w:after="120" w:before="0" w:line="276" w:lineRule="auto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8" w:type="default"/>
      <w:footerReference r:id="rId19" w:type="first"/>
      <w:pgSz w:h="15840" w:w="12240" w:orient="portrait"/>
      <w:pgMar w:bottom="851" w:top="993" w:left="153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6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/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cnlalliance-my.sharepoint.com/:w:/g/personal/akurmanalieva_icnlalliance_kg/EW3EJMAK9dJDqvNd21WOJlsB7hEAT8SBj9cCI0IJE2k34g?e=oHOww3" TargetMode="External"/><Relationship Id="rId10" Type="http://schemas.openxmlformats.org/officeDocument/2006/relationships/hyperlink" Target="http://koomtalkuu.gov.kg/ru/view-npa/3709" TargetMode="External"/><Relationship Id="rId13" Type="http://schemas.openxmlformats.org/officeDocument/2006/relationships/hyperlink" Target="https://kenesh.kg/posts/8303" TargetMode="External"/><Relationship Id="rId12" Type="http://schemas.openxmlformats.org/officeDocument/2006/relationships/hyperlink" Target="https://kenesh.kg/posts/8204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nlalliance-my.sharepoint.com/:w:/g/personal/akurmanalieva_icnlalliance_kg/EYDbtSwDkvZDmgP6k-WjdSABlKzwFvF56jPhnl7L0EP8Yg?e=bwz7TE" TargetMode="External"/><Relationship Id="rId15" Type="http://schemas.openxmlformats.org/officeDocument/2006/relationships/hyperlink" Target="http://koomtalkuu.gov.kg/ru/view-npa/3695" TargetMode="External"/><Relationship Id="rId14" Type="http://schemas.openxmlformats.org/officeDocument/2006/relationships/hyperlink" Target="https://kenesh.kg/bills/649254" TargetMode="External"/><Relationship Id="rId17" Type="http://schemas.openxmlformats.org/officeDocument/2006/relationships/hyperlink" Target="https://kenesh.kg/bills/642327" TargetMode="External"/><Relationship Id="rId16" Type="http://schemas.openxmlformats.org/officeDocument/2006/relationships/hyperlink" Target="https://kenesh.kg/posts/8265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1.png"/><Relationship Id="rId18" Type="http://schemas.openxmlformats.org/officeDocument/2006/relationships/footer" Target="footer1.xml"/><Relationship Id="rId7" Type="http://schemas.openxmlformats.org/officeDocument/2006/relationships/hyperlink" Target="https://www.gov.kg/ru/post/s/24160-prezidenttik-administraciyada-kommerciyalyk-emes-uyumdardyn-istoo-tartibi-talkuulandy" TargetMode="External"/><Relationship Id="rId8" Type="http://schemas.openxmlformats.org/officeDocument/2006/relationships/hyperlink" Target="https://icnlalliance-my.sharepoint.com/:w:/g/personal/akurmanalieva_icnlalliance_kg/EYDbtSwDkvZDmgP6k-WjdSABlKzwFvF56jPhnl7L0EP8Yg?e=bwz7T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6b36a958e77e425c7cd55351a1eb62c8c09a3e93cf1c21db09815d22f502bdad</vt:lpwstr>
  </property>
  <property fmtid="{D5CDD505-2E9C-101B-9397-08002B2CF9AE}" pid="3" name="ContentTypeId">
    <vt:lpwstr>0x0101007137CFD7E6B38C47B6A41708AA13AD73</vt:lpwstr>
  </property>
</Properties>
</file>