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53</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мая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40821578"/>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Президент продлил срок работы рабочей группы по проекту Закона КР «О некоммерческих неправительственных организациях»</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парламента одобрил проект Закона «О внесении изменений в конституционный Закон Кыргызской Республики «О выборах Президента Кыргызской Республики и депутатов Жогорку Кенеша Кыргызской Республики»» для его принятия в первом чтении</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КР «О внесении изменений в Гражданский кодекс Кыргызской Республики»</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Общественный фонд «Институт Медиа Полиси» призвал Кабинет Министров отозвать законопроект, который предусматривает введение ответственности за оскорбление и клевету в сети Интернет</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2">
      <w:pPr>
        <w:tabs>
          <w:tab w:val="left" w:leader="none" w:pos="5498"/>
        </w:tabs>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ab/>
      </w:r>
    </w:p>
    <w:p w:rsidR="00000000" w:rsidDel="00000000" w:rsidP="00000000" w:rsidRDefault="00000000" w:rsidRPr="00000000" w14:paraId="00000013">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4">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A">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B">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C">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F">
      <w:pPr>
        <w:keepNext w:val="1"/>
        <w:keepLines w:val="1"/>
        <w:numPr>
          <w:ilvl w:val="0"/>
          <w:numId w:val="1"/>
        </w:numPr>
        <w:spacing w:after="120" w:line="276" w:lineRule="auto"/>
        <w:ind w:left="1134" w:hanging="425"/>
        <w:jc w:val="both"/>
        <w:rPr>
          <w:rFonts w:ascii="Cambria" w:cs="Cambria" w:eastAsia="Cambria" w:hAnsi="Cambria"/>
          <w:color w:val="2e75b5"/>
          <w:sz w:val="22"/>
          <w:szCs w:val="22"/>
        </w:rPr>
      </w:pPr>
      <w:bookmarkStart w:colFirst="0" w:colLast="0" w:name="_30j0zll" w:id="1"/>
      <w:bookmarkEnd w:id="1"/>
      <w:r w:rsidDel="00000000" w:rsidR="00000000" w:rsidRPr="00000000">
        <w:rPr>
          <w:rFonts w:ascii="Cambria" w:cs="Cambria" w:eastAsia="Cambria" w:hAnsi="Cambria"/>
          <w:color w:val="2e75b5"/>
          <w:sz w:val="22"/>
          <w:szCs w:val="22"/>
          <w:rtl w:val="0"/>
        </w:rPr>
        <w:t xml:space="preserve">Президент продлил срок работы рабочей группы по проекту Закона КР «О некоммерческих неправительственных организациях»</w:t>
      </w:r>
    </w:p>
    <w:p w:rsidR="00000000" w:rsidDel="00000000" w:rsidP="00000000" w:rsidRDefault="00000000" w:rsidRPr="00000000" w14:paraId="00000020">
      <w:pPr>
        <w:spacing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Как известно, 2 ноября 2022 года Отделом правового обеспечения Администрации Президента на сайте Кабинета Министров для общественного обсуждения был опубликован </w:t>
      </w:r>
      <w:hyperlink r:id="rId7">
        <w:r w:rsidDel="00000000" w:rsidR="00000000" w:rsidRPr="00000000">
          <w:rPr>
            <w:rFonts w:ascii="Cambria" w:cs="Cambria" w:eastAsia="Cambria" w:hAnsi="Cambria"/>
            <w:color w:val="0563c1"/>
            <w:sz w:val="22"/>
            <w:szCs w:val="22"/>
            <w:highlight w:val="white"/>
            <w:u w:val="single"/>
            <w:rtl w:val="0"/>
          </w:rPr>
          <w:t xml:space="preserve">проект Закона КР</w:t>
        </w:r>
      </w:hyperlink>
      <w:r w:rsidDel="00000000" w:rsidR="00000000" w:rsidRPr="00000000">
        <w:rPr>
          <w:rFonts w:ascii="Cambria" w:cs="Cambria" w:eastAsia="Cambria" w:hAnsi="Cambria"/>
          <w:color w:val="050505"/>
          <w:sz w:val="22"/>
          <w:szCs w:val="22"/>
          <w:highlight w:val="white"/>
          <w:rtl w:val="0"/>
        </w:rPr>
        <w:t xml:space="preserve"> «О некоммерческих неправительственных организациях» (далее -законопроект). </w:t>
      </w:r>
    </w:p>
    <w:p w:rsidR="00000000" w:rsidDel="00000000" w:rsidP="00000000" w:rsidRDefault="00000000" w:rsidRPr="00000000" w14:paraId="00000021">
      <w:pPr>
        <w:spacing w:before="240"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Во время общественного обсуждения законопроекта ряд некоммерческих организаций (НКО) выступили против его принятия в связи с его несоответствием стандартам регулирования НКО в демократических странах и международным обязательствам Кыргызстана в сфере прав человека. После этого 9 февраля 2023 года Администрация Президента создала совместную рабочую группу (РГ) с участием представителей НКО для доработки законопроекта. 20 марта 2023 года представители НКО – члены РГ – передали Администрации Президента свои постатейные предложения и комментарии к законопроекту. 8 декабря 2023 года Администрация Президента направила членам РГ от НКО доработанный ею </w:t>
      </w:r>
      <w:hyperlink r:id="rId8">
        <w:r w:rsidDel="00000000" w:rsidR="00000000" w:rsidRPr="00000000">
          <w:rPr>
            <w:rFonts w:ascii="Cambria" w:cs="Cambria" w:eastAsia="Cambria" w:hAnsi="Cambria"/>
            <w:color w:val="0563c1"/>
            <w:sz w:val="22"/>
            <w:szCs w:val="22"/>
            <w:highlight w:val="white"/>
            <w:u w:val="single"/>
            <w:rtl w:val="0"/>
          </w:rPr>
          <w:t xml:space="preserve">вариант законопроекта</w:t>
        </w:r>
      </w:hyperlink>
      <w:r w:rsidDel="00000000" w:rsidR="00000000" w:rsidRPr="00000000">
        <w:rPr>
          <w:rFonts w:ascii="Cambria" w:cs="Cambria" w:eastAsia="Cambria" w:hAnsi="Cambria"/>
          <w:color w:val="050505"/>
          <w:sz w:val="22"/>
          <w:szCs w:val="22"/>
          <w:highlight w:val="white"/>
          <w:rtl w:val="0"/>
        </w:rPr>
        <w:t xml:space="preserve">.</w:t>
      </w:r>
    </w:p>
    <w:p w:rsidR="00000000" w:rsidDel="00000000" w:rsidP="00000000" w:rsidRDefault="00000000" w:rsidRPr="00000000" w14:paraId="00000022">
      <w:pPr>
        <w:spacing w:before="240"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Доработанный законопроект не претерпел существенных изменений в части дискриминационных для НКО сектора положений, предложения членов РГ от ОГО не были учтены. С правовым анализом МЦНП от 14 декабря 2023 года по доработанному законопроекту можно ознакомиться </w:t>
      </w:r>
      <w:hyperlink r:id="rId9">
        <w:r w:rsidDel="00000000" w:rsidR="00000000" w:rsidRPr="00000000">
          <w:rPr>
            <w:rFonts w:ascii="Cambria" w:cs="Cambria" w:eastAsia="Cambria" w:hAnsi="Cambria"/>
            <w:color w:val="0563c1"/>
            <w:sz w:val="22"/>
            <w:szCs w:val="22"/>
            <w:highlight w:val="white"/>
            <w:u w:val="single"/>
            <w:rtl w:val="0"/>
          </w:rPr>
          <w:t xml:space="preserve">здесь</w:t>
        </w:r>
      </w:hyperlink>
      <w:r w:rsidDel="00000000" w:rsidR="00000000" w:rsidRPr="00000000">
        <w:rPr>
          <w:rFonts w:ascii="Cambria" w:cs="Cambria" w:eastAsia="Cambria" w:hAnsi="Cambria"/>
          <w:color w:val="050505"/>
          <w:sz w:val="22"/>
          <w:szCs w:val="22"/>
          <w:highlight w:val="white"/>
          <w:rtl w:val="0"/>
        </w:rPr>
        <w:t xml:space="preserve">.</w:t>
      </w:r>
    </w:p>
    <w:p w:rsidR="00000000" w:rsidDel="00000000" w:rsidP="00000000" w:rsidRDefault="00000000" w:rsidRPr="00000000" w14:paraId="00000023">
      <w:pPr>
        <w:spacing w:before="240"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Президент КР Садыр Жапаров ранее поручил РГ до 1 мая 2024 г. доработать последнюю версию законопроекта и вынести его на общественное обсуждение. Ожидалось, что после принятия проекта Закона об иностранных представителях законопроект Администрации Президента будет отозван или не будет далее продвигаться. Однако, 29 апреля 2024 г. Президент подписал Распоряжение под №81, которым он продлил сроки доработки законопроекта членами РГ до 1 ноября 2024 г.</w:t>
      </w:r>
    </w:p>
    <w:p w:rsidR="00000000" w:rsidDel="00000000" w:rsidP="00000000" w:rsidRDefault="00000000" w:rsidRPr="00000000" w14:paraId="00000024">
      <w:pPr>
        <w:spacing w:line="276" w:lineRule="auto"/>
        <w:ind w:firstLine="709"/>
        <w:jc w:val="both"/>
        <w:rPr>
          <w:rFonts w:ascii="Cambria" w:cs="Cambria" w:eastAsia="Cambria" w:hAnsi="Cambria"/>
          <w:color w:val="050505"/>
          <w:sz w:val="22"/>
          <w:szCs w:val="22"/>
          <w:highlight w:val="white"/>
        </w:rPr>
      </w:pPr>
      <w:r w:rsidDel="00000000" w:rsidR="00000000" w:rsidRPr="00000000">
        <w:rPr>
          <w:rtl w:val="0"/>
        </w:rPr>
      </w:r>
    </w:p>
    <w:p w:rsidR="00000000" w:rsidDel="00000000" w:rsidP="00000000" w:rsidRDefault="00000000" w:rsidRPr="00000000" w14:paraId="00000025">
      <w:pPr>
        <w:spacing w:line="276" w:lineRule="auto"/>
        <w:ind w:firstLine="709"/>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Сравнительную таблицу версий законопроекта от 2 ноября 2022 года и 8 декабря 2023 года можно найти </w:t>
      </w:r>
      <w:hyperlink r:id="rId10">
        <w:r w:rsidDel="00000000" w:rsidR="00000000" w:rsidRPr="00000000">
          <w:rPr>
            <w:rFonts w:ascii="Cambria" w:cs="Cambria" w:eastAsia="Cambria" w:hAnsi="Cambria"/>
            <w:color w:val="0563c1"/>
            <w:sz w:val="22"/>
            <w:szCs w:val="22"/>
            <w:highlight w:val="white"/>
            <w:u w:val="single"/>
            <w:rtl w:val="0"/>
          </w:rPr>
          <w:t xml:space="preserve">здесь</w:t>
        </w:r>
      </w:hyperlink>
      <w:r w:rsidDel="00000000" w:rsidR="00000000" w:rsidRPr="00000000">
        <w:rPr>
          <w:rFonts w:ascii="Cambria" w:cs="Cambria" w:eastAsia="Cambria" w:hAnsi="Cambria"/>
          <w:color w:val="050505"/>
          <w:sz w:val="22"/>
          <w:szCs w:val="22"/>
          <w:highlight w:val="white"/>
          <w:rtl w:val="0"/>
        </w:rPr>
        <w:t xml:space="preserve">.</w:t>
      </w:r>
    </w:p>
    <w:p w:rsidR="00000000" w:rsidDel="00000000" w:rsidP="00000000" w:rsidRDefault="00000000" w:rsidRPr="00000000" w14:paraId="00000026">
      <w:pPr>
        <w:spacing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pStyle w:val="Heading3"/>
        <w:numPr>
          <w:ilvl w:val="0"/>
          <w:numId w:val="1"/>
        </w:numPr>
        <w:spacing w:after="120" w:before="0" w:line="276" w:lineRule="auto"/>
        <w:ind w:left="1134" w:hanging="425"/>
        <w:jc w:val="both"/>
        <w:rPr>
          <w:rFonts w:ascii="Cambria" w:cs="Cambria" w:eastAsia="Cambria" w:hAnsi="Cambria"/>
          <w:color w:val="2e75b5"/>
          <w:sz w:val="22"/>
          <w:szCs w:val="22"/>
        </w:rPr>
      </w:pPr>
      <w:bookmarkStart w:colFirst="0" w:colLast="0" w:name="_1fob9te" w:id="2"/>
      <w:bookmarkEnd w:id="2"/>
      <w:r w:rsidDel="00000000" w:rsidR="00000000" w:rsidRPr="00000000">
        <w:rPr>
          <w:rFonts w:ascii="Cambria" w:cs="Cambria" w:eastAsia="Cambria" w:hAnsi="Cambria"/>
          <w:color w:val="2e75b5"/>
          <w:sz w:val="22"/>
          <w:szCs w:val="22"/>
          <w:rtl w:val="0"/>
        </w:rPr>
        <w:t xml:space="preserve">Инициированы 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 </w:t>
      </w:r>
    </w:p>
    <w:p w:rsidR="00000000" w:rsidDel="00000000" w:rsidP="00000000" w:rsidRDefault="00000000" w:rsidRPr="00000000" w14:paraId="00000028">
      <w:pPr>
        <w:spacing w:line="276" w:lineRule="auto"/>
        <w:ind w:firstLine="709"/>
        <w:jc w:val="both"/>
        <w:rPr>
          <w:rFonts w:ascii="Cambria" w:cs="Cambria" w:eastAsia="Cambria" w:hAnsi="Cambria"/>
          <w:sz w:val="22"/>
          <w:szCs w:val="22"/>
        </w:rPr>
      </w:pPr>
      <w:bookmarkStart w:colFirst="0" w:colLast="0" w:name="_3znysh7" w:id="3"/>
      <w:bookmarkEnd w:id="3"/>
      <w:r w:rsidDel="00000000" w:rsidR="00000000" w:rsidRPr="00000000">
        <w:rPr>
          <w:rFonts w:ascii="Cambria" w:cs="Cambria" w:eastAsia="Cambria" w:hAnsi="Cambria"/>
          <w:sz w:val="22"/>
          <w:szCs w:val="22"/>
          <w:rtl w:val="0"/>
        </w:rPr>
        <w:t xml:space="preserve">7 мая 2024 г. на сайте Жогорку Кенеша были зарегистрированы проекты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 Инициатором данных проектов является Кабинета Министров.</w:t>
      </w:r>
    </w:p>
    <w:p w:rsidR="00000000" w:rsidDel="00000000" w:rsidP="00000000" w:rsidRDefault="00000000" w:rsidRPr="00000000" w14:paraId="00000029">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инициирования проекта нового ТК и законопроекта является достижение баланса интересов работников и работодателей в связи с развитием экономических и трудовых отношений, появлений новых форм занятости, а также систематизация трудового законодательства КР с целью его более логичной и структурированной организации для обеспечения более удобного применения и понимания норм трудового права. </w:t>
      </w:r>
    </w:p>
    <w:p w:rsidR="00000000" w:rsidDel="00000000" w:rsidP="00000000" w:rsidRDefault="00000000" w:rsidRPr="00000000" w14:paraId="0000002A">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Проектом нового ТК и законопроектом предлагается:</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статьи 28, 29, 30, 31, 32, 33, 34, касающиеся представителей работодателей и работников, их полномочий и обязанностей, из ТК в Закон КР «О социальном партнерстве в области трудовых отношений в КР».</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29 статей, касающихся ответственности работодателя за вред, причиненный работникам, медицинских осмотров работников некоторых категорий, а также выдачи молока и лечебно-профилактического питания, из Главы 17 ТК в Закон КР «Об охране труда».</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Исключить 11 статей из ТК.</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8 статей, содержащих определения терминов, из различных разделов ТК в его понятийную часть.</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Объединить 126 статей ТК.</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Сократить количество нерабочих праздничных дней в календарном году и признать следующие праздничные дни рабочими: 23 февраля (День защитника Отечества), 7 апреля (День народной Апрельской революции), 7–8 ноября (Дни истории и памяти предков).</w:t>
      </w:r>
    </w:p>
    <w:p w:rsidR="00000000" w:rsidDel="00000000" w:rsidP="00000000" w:rsidRDefault="00000000" w:rsidRPr="00000000" w14:paraId="00000031">
      <w:pPr>
        <w:spacing w:after="120"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По мнению инициаторов проекта нового ТК и законопроекта, предлагаемые изменения:</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расширят механизмы гибкого регулирования трудовых отношений и устранят ряд ограничений, которые препятствуют развитию предприятий, путем установления срока исковой давности по спорам о взыскании заработной платы и единого процента ставки пени при нарушении работодателем срока выплаты заработной платы, оплаты отпуска, расчета при увольнении и других выплат;</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предполагают введение электронного формата трудового договора, возможность использования локальных нормативных актов, содержащих нормы по регулированию трудовых отношений и положения о ведении электронной трудовой книжки;</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создадут возможность использование гибких форм занятости, таких как дистанционная работа и комбинированная дистанционная работа;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предусматривают специальные меры по квотированию рабочих мест для лиц с ограниченными возможностями здоровья и выпускников детских домов. </w:t>
      </w:r>
    </w:p>
    <w:p w:rsidR="00000000" w:rsidDel="00000000" w:rsidP="00000000" w:rsidRDefault="00000000" w:rsidRPr="00000000" w14:paraId="00000036">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текстами проекта нового Трудового кодекса и законопроекта можно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и </w:t>
      </w:r>
      <w:hyperlink r:id="rId12">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а с сопроводительными документами к ним - </w:t>
      </w:r>
      <w:hyperlink r:id="rId13">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7">
      <w:pPr>
        <w:spacing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8">
      <w:pPr>
        <w:pStyle w:val="Heading3"/>
        <w:numPr>
          <w:ilvl w:val="0"/>
          <w:numId w:val="3"/>
        </w:numPr>
        <w:spacing w:after="120" w:before="0" w:line="276" w:lineRule="auto"/>
        <w:ind w:left="1069" w:hanging="360"/>
        <w:jc w:val="both"/>
        <w:rPr>
          <w:rFonts w:ascii="Cambria" w:cs="Cambria" w:eastAsia="Cambria" w:hAnsi="Cambria"/>
          <w:color w:val="2e75b5"/>
          <w:sz w:val="22"/>
          <w:szCs w:val="22"/>
        </w:rPr>
      </w:pPr>
      <w:bookmarkStart w:colFirst="0" w:colLast="0" w:name="_2et92p0" w:id="4"/>
      <w:bookmarkEnd w:id="4"/>
      <w:r w:rsidDel="00000000" w:rsidR="00000000" w:rsidRPr="00000000">
        <w:rPr>
          <w:rFonts w:ascii="Cambria" w:cs="Cambria" w:eastAsia="Cambria" w:hAnsi="Cambria"/>
          <w:color w:val="2e75b5"/>
          <w:sz w:val="22"/>
          <w:szCs w:val="22"/>
          <w:rtl w:val="0"/>
        </w:rPr>
        <w:t xml:space="preserve">Профильный комитет парламента одобрил проект Закона «О внесении изменений в конституционный Закон Кыргызской Республики «О выборах Президента Кыргызской Республики и депутатов Жогорку Кенеша Кыргызской Республики»» для его принятия в первом чтении </w:t>
      </w:r>
    </w:p>
    <w:p w:rsidR="00000000" w:rsidDel="00000000" w:rsidP="00000000" w:rsidRDefault="00000000" w:rsidRPr="00000000" w14:paraId="00000039">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30 апреля 2024 г. на сайте Жогорку Кенеша был зарегистрирован проект конституционного Закона «О внесении изменений в конституционный Закон Кыргызской Республики «О выборах Президента Кыргызской Республики и депутатов Жогорку Кенеша Кыргызской Республики»». Инициатором законопроекта является депутат Жогорку Кенеша Икрамов Т.И.</w:t>
      </w:r>
    </w:p>
    <w:p w:rsidR="00000000" w:rsidDel="00000000" w:rsidP="00000000" w:rsidRDefault="00000000" w:rsidRPr="00000000" w14:paraId="0000003A">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данного законопроекта является полноценное обеспечение граждан КР правом осуществления народной власти непосредственно на выборах и референдумах.</w:t>
      </w:r>
    </w:p>
    <w:p w:rsidR="00000000" w:rsidDel="00000000" w:rsidP="00000000" w:rsidRDefault="00000000" w:rsidRPr="00000000" w14:paraId="0000003B">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 конституционного Закона предлагает ввести норму о том, что все граждане КР, проживающие на территории КР, обязаны участвовать в выборах Президента и депутатов Жогорку Кенеша. </w:t>
      </w:r>
    </w:p>
    <w:p w:rsidR="00000000" w:rsidDel="00000000" w:rsidP="00000000" w:rsidRDefault="00000000" w:rsidRPr="00000000" w14:paraId="0000003C">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Также законопроектом предлагается новая норма, согласно которой, областные и участковые избирательные комиссии по проведению референдумов и выборов Президента и Жогорку Кенеша в течение 3 рабочих дней после окончания выборов обязаны направлять в государственные органы и органы местного самоуправления списки граждан, не принимавших участие в выборах. Из данного списка предлагается исключать лиц, работающих за границей и не успевших проголосовать. В случае отказа от участия в выборах, за исключением лиц, имеющих уважительные причины для неявки на выборы, избиратели будут нести ответственность в соответствии с законодательством КР.</w:t>
      </w:r>
    </w:p>
    <w:p w:rsidR="00000000" w:rsidDel="00000000" w:rsidP="00000000" w:rsidRDefault="00000000" w:rsidRPr="00000000" w14:paraId="0000003D">
      <w:pPr>
        <w:spacing w:after="120"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7 мая 2024 г. Комитет по конституционному законодательству, государственному устройству, судебно-правовым вопросам и Регламенту Жогорку Кенеша рассмотрел и одобрил данный проект конституционного Закона для его принятия в первом чтении. Во время обсуждения законопроекта депутат Мамасыдыков З. отметил, что он был разработан в целях усовершенствования избирательного процесса в КР и содействия его прозрачности, а также с целью снижения рисков финансовых и организационных злоупотреблений в предвыборный период.</w:t>
      </w:r>
    </w:p>
    <w:p w:rsidR="00000000" w:rsidDel="00000000" w:rsidP="00000000" w:rsidRDefault="00000000" w:rsidRPr="00000000" w14:paraId="0000003E">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 текстом проекта конституционного Закона и сопроводительными документами к нему можно ознакомиться  </w:t>
      </w:r>
      <w:hyperlink r:id="rId14">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F">
      <w:pPr>
        <w:spacing w:after="120"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pStyle w:val="Heading3"/>
        <w:numPr>
          <w:ilvl w:val="0"/>
          <w:numId w:val="4"/>
        </w:numPr>
        <w:spacing w:after="120" w:before="0" w:line="276" w:lineRule="auto"/>
        <w:ind w:left="720" w:hanging="360"/>
        <w:jc w:val="both"/>
        <w:rPr>
          <w:rFonts w:ascii="Cambria" w:cs="Cambria" w:eastAsia="Cambria" w:hAnsi="Cambria"/>
          <w:color w:val="2e75b5"/>
          <w:sz w:val="22"/>
          <w:szCs w:val="22"/>
        </w:rPr>
      </w:pPr>
      <w:bookmarkStart w:colFirst="0" w:colLast="0" w:name="_tyjcwt" w:id="5"/>
      <w:bookmarkEnd w:id="5"/>
      <w:r w:rsidDel="00000000" w:rsidR="00000000" w:rsidRPr="00000000">
        <w:rPr>
          <w:rFonts w:ascii="Cambria" w:cs="Cambria" w:eastAsia="Cambria" w:hAnsi="Cambria"/>
          <w:color w:val="2e75b5"/>
          <w:sz w:val="22"/>
          <w:szCs w:val="22"/>
          <w:rtl w:val="0"/>
        </w:rPr>
        <w:t xml:space="preserve">Инициирован проект Закона КР «О внесении изменений в Гражданский кодекс Кыргызской Республики»</w:t>
      </w:r>
    </w:p>
    <w:p w:rsidR="00000000" w:rsidDel="00000000" w:rsidP="00000000" w:rsidRDefault="00000000" w:rsidRPr="00000000" w14:paraId="00000041">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мая 2024 г. на сайте Жогорку Кенеша был зарегистрирован проект Закона КР «О внесении изменений в Гражданский кодекс Кыргызской Республики», инициатором которого является депутат Жогорку Кенеша Маматалиев М.</w:t>
      </w:r>
    </w:p>
    <w:p w:rsidR="00000000" w:rsidDel="00000000" w:rsidP="00000000" w:rsidRDefault="00000000" w:rsidRPr="00000000" w14:paraId="00000042">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разработан с целью пресечения недобросовестных финансовых пирамид различного рода и структур, путем установления правовых норм, запрещающих использование религиозных терминов и определений в наименованиях микрофинансовых организаций и жилищных кооперативов.</w:t>
      </w:r>
    </w:p>
    <w:p w:rsidR="00000000" w:rsidDel="00000000" w:rsidP="00000000" w:rsidRDefault="00000000" w:rsidRPr="00000000" w14:paraId="00000043">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Так, законопроектом предлагается дополнить ч. 1 статьи 89 Гражданского кодекса КР нормой, которая запрещает применение слов, терминов, определений религиозного характера в фирменном наименовании юридического лица, за исключением религиозных некоммерческих организаций, в уставе которых не указывается основной целью извлечение прибыли, а также юридических лиц, предоставляющих услуги в соответствии с исламскими принципам финансирования.</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5">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pStyle w:val="Heading3"/>
        <w:numPr>
          <w:ilvl w:val="0"/>
          <w:numId w:val="4"/>
        </w:numPr>
        <w:spacing w:after="120" w:line="276" w:lineRule="auto"/>
        <w:ind w:left="720" w:hanging="360"/>
        <w:jc w:val="both"/>
        <w:rPr>
          <w:rFonts w:ascii="Cambria" w:cs="Cambria" w:eastAsia="Cambria" w:hAnsi="Cambria"/>
          <w:color w:val="2e75b5"/>
          <w:sz w:val="22"/>
          <w:szCs w:val="22"/>
        </w:rPr>
      </w:pPr>
      <w:bookmarkStart w:colFirst="0" w:colLast="0" w:name="_3dy6vkm" w:id="6"/>
      <w:bookmarkEnd w:id="6"/>
      <w:r w:rsidDel="00000000" w:rsidR="00000000" w:rsidRPr="00000000">
        <w:rPr>
          <w:rFonts w:ascii="Cambria" w:cs="Cambria" w:eastAsia="Cambria" w:hAnsi="Cambria"/>
          <w:color w:val="2e75b5"/>
          <w:sz w:val="22"/>
          <w:szCs w:val="22"/>
          <w:rtl w:val="0"/>
        </w:rPr>
        <w:t xml:space="preserve">Общественный фонд «Институт Медиа Полиси» призвал Кабинет Министров отозвать законопроект, который предусматривает введение ответственности за оскорбление и клевету в сети Интернет</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ранее было упомянуто в </w:t>
      </w:r>
      <w:hyperlink r:id="rId16">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Информационном бюллетене № 51</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1 апреля 2024 г. на общественное обсуждение был вынесен проект Закона КР «О внесении изменений в Кодекс Кыргызской Республики о правонарушениях», который предусматривает введение  административной ответственности в виде штрафа к физическим лицам в размере 75 расчетных показателей, к юридическим лицам в размере 230 расчетных показателей за оскорбление, то есть умышленное унижение чести и достоинства другого лица, выраженное в неприличной форме, содержащееся в средствах массовой информации, на сайте в сети Интернет или на странице сайта в сети Интернет. Законопроектом также предлагается установление штрафа на физических лиц в размере 100 расчетных показателей и на юридических лиц в размере 280 расчетных показателей за клевету, то есть распространение заведомо ложных сведений, порочащих честь и достоинство другого лица или подрывающих его репутацию, содержащиеся в средствах массовой информации, на сайте в сети Интернет или на странице сайта в сети Интернет.</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1t3h5sf" w:id="7"/>
      <w:bookmarkEnd w:id="7"/>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Общественный фонд «Институт Медиа Полиси» призвал Кабинет Министров отозвать законопроект. Ознакомиться с текстом Обращения можно </w:t>
      </w:r>
      <w:hyperlink r:id="rId1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а с текстом законопроекта и с сопроводительными документами к нему - </w:t>
      </w:r>
      <w:hyperlink r:id="rId1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19" w:type="default"/>
      <w:footerReference r:id="rId20" w:type="first"/>
      <w:pgSz w:h="15840" w:w="12240" w:orient="portrait"/>
      <w:pgMar w:bottom="851"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icnlalliance-my.sharepoint.com/:w:/g/personal/akurmanalieva_icnlalliance_kg/EcyxcZiM4fdMmu-bRDE9mC8Bu38dEhN_iwtL5R6uOS5c_A?e=ULcop2" TargetMode="External"/><Relationship Id="rId10" Type="http://schemas.openxmlformats.org/officeDocument/2006/relationships/hyperlink" Target="https://icnlalliance-my.sharepoint.com/:w:/g/personal/akurmanalieva_icnlalliance_kg/EQUPFuoFSa1GiO2WP0HqK1EB1W6z_D1lEe6Oar3AFW_REw?e=8RhaiQ" TargetMode="External"/><Relationship Id="rId13" Type="http://schemas.openxmlformats.org/officeDocument/2006/relationships/hyperlink" Target="https://kenesh.kg/bills/651733" TargetMode="External"/><Relationship Id="rId12" Type="http://schemas.openxmlformats.org/officeDocument/2006/relationships/hyperlink" Target="https://icnlalliance-my.sharepoint.com/:w:/g/personal/akurmanalieva_icnlalliance_kg/EZoecbapAwRJk_vl9qgfXosBDS8am0vOUvhss_DVatZg0A?e=LvGGu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nlalliance-my.sharepoint.com/:w:/g/personal/akurmanalieva_icnlalliance_kg/EZuA7O8810dBpYKyPFR41QEBRtoCXPnbHN89zDmCogI91A?e=8BwaX2" TargetMode="External"/><Relationship Id="rId15" Type="http://schemas.openxmlformats.org/officeDocument/2006/relationships/hyperlink" Target="https://kenesh.kg/bills/651453" TargetMode="External"/><Relationship Id="rId14" Type="http://schemas.openxmlformats.org/officeDocument/2006/relationships/hyperlink" Target="https://kenesh.kg/bills/651332" TargetMode="External"/><Relationship Id="rId17" Type="http://schemas.openxmlformats.org/officeDocument/2006/relationships/hyperlink" Target="https://icnlalliance-my.sharepoint.com/:b:/g/personal/akurmanalieva_icnlalliance_kg/EbqWT25rzudMiGUOCkEsJRoBxzgJZw60wh9eXD5r3moUaA?e=IH9Bu6" TargetMode="External"/><Relationship Id="rId16" Type="http://schemas.openxmlformats.org/officeDocument/2006/relationships/hyperlink" Target="https://icnlalliance-my.sharepoint.com/:b:/g/personal/akurmanalieva_icnlalliance_kg/Ef3OI41MdqdOvSPy0OVCKuABRmyZNv7xQOJ_wnGaOMdB3w?e=g3fIyJ"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yperlink" Target="http://koomtalkuu.gov.kg/ru/view-npa/3637" TargetMode="External"/><Relationship Id="rId7" Type="http://schemas.openxmlformats.org/officeDocument/2006/relationships/hyperlink" Target="https://icnlalliance-my.sharepoint.com/:w:/g/personal/akurmanalieva_icnlalliance_kg/EUozbPrJD99OoSOLHceebQgBG1PlZszkXVHSCLYWTDk92A?e=IbeVpq" TargetMode="External"/><Relationship Id="rId8" Type="http://schemas.openxmlformats.org/officeDocument/2006/relationships/hyperlink" Target="https://icnlalliance-my.sharepoint.com/:w:/g/personal/akurmanalieva_icnlalliance_kg/EQQblp4Arv9HrN5mn0P3HjUBYSigt17qlAK-8-02IbhU9A?e=S9t4x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