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55</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15 июня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1462685463"/>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Парламент отклонил законопроект по отчетности отдельных некоммерческих организаций</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Еще два комитета парламента одобрили </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Инициированы поправки в Закон КР «Об информации персонального характера» и в Уголовный кодекс КР</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Постановления Кабинета Министров «Об утверждении положения о порядке проведения конкурса по поддержке молодежных инициатив в соответствии с целевыми программами»</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Инициированы поправки в законы КР «О государственной поддержке малого предпринимательства», «О меценатстве и благотворительной деятельности»</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в третьем чтении проект Закона КР «О кибербезопасности Кыргызской Республики»</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rPr>
          <w:rFonts w:ascii="Cambria" w:cs="Cambria" w:eastAsia="Cambria" w:hAnsi="Cambria"/>
          <w:color w:val="2e75b5"/>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F">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1">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3">
      <w:pPr>
        <w:tabs>
          <w:tab w:val="left" w:leader="none" w:pos="5498"/>
        </w:tabs>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ab/>
      </w:r>
    </w:p>
    <w:p w:rsidR="00000000" w:rsidDel="00000000" w:rsidP="00000000" w:rsidRDefault="00000000" w:rsidRPr="00000000" w14:paraId="00000014">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7">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8">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9">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A">
      <w:pPr>
        <w:pStyle w:val="Heading3"/>
        <w:numPr>
          <w:ilvl w:val="0"/>
          <w:numId w:val="1"/>
        </w:numPr>
        <w:spacing w:after="120" w:before="0" w:line="276" w:lineRule="auto"/>
        <w:ind w:left="1094" w:hanging="357"/>
        <w:jc w:val="both"/>
        <w:rPr/>
      </w:pPr>
      <w:bookmarkStart w:colFirst="0" w:colLast="0" w:name="_30j0zll" w:id="1"/>
      <w:bookmarkEnd w:id="1"/>
      <w:r w:rsidDel="00000000" w:rsidR="00000000" w:rsidRPr="00000000">
        <w:rPr>
          <w:rFonts w:ascii="Cambria" w:cs="Cambria" w:eastAsia="Cambria" w:hAnsi="Cambria"/>
          <w:sz w:val="22"/>
          <w:szCs w:val="22"/>
          <w:rtl w:val="0"/>
        </w:rPr>
        <w:t xml:space="preserve">Парламент отклонил законопроект по отчетности отдельных некоммерческих организаций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предыдущих номерах Информационного бюллетеня была информация о том, что  правозащитное движение «Бир Дуйно – Кыргызстан» ранее обратилось в Конституционный суд КР с заявлением о признании статьи 17 Закона КР «О некоммерческих организациях» (которая обязывает некоторые НКО – общественные объединения, фонды, учреждения и объединения юридических лиц - ежегодно до 1 апреля размещать на сайте уполномоченного налогового органа сводную информацию за прошедший год об источниках формирования денежных средств, имущества и расходах) неконституционным. Свое заявление Правозащитное движение аргументировало тем, что установление такого требования является дискриминационным для этих НКО, так как требование по этой отчетности не распространяется на некоторые общественные организации, такие как политические партии, профессиональные союзы, религиозные организации, кооперативы, а также на коммерческие организации.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Конституционный суд, рассмотрев данное заявление, отметил, что согласно ч. 4 статьи 8 Конституции КР, политические партии, профессиональные союзы и другие общественные объединения обеспечивают прозрачность своей финансовой и хозяйственной деятельности,  и подчеркнул, что, устанавливая требования по финансовой отчетности к общественным объединениям, законодатель должен придерживаться единообразного подхода и правового режима, который обеспечивал бы всем общественным объединениям равные условия в их деятельности.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Министерство юстиции, на основании вышеизложенных аргументов, инициировало проект Закона КР «О внесении изменений в законодательные акты Кыргызской Республики по вопросам отчетности отдельных некоммерческих организаций» (далее – законопроект). Законопроектом предлагалось распространить требования о дополнительной отчетности НКО (размещении ежегодно до 1 апреля на сайте уполномоченного налогового органа сводной информации за прошедший год об источниках формирования денежных средств, имущества и расходах) на профессиональные союзы, политические партии, кооперативы и религиозные организации, при этом не включая в этот список коммерческие организации.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6 июня 2024 г. Жогорку Кенеш рассмотрел законопроект в первом чтении и отклонил его. Ознакомиться</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 текстом законопроекта и справкой-обоснованием к нему можно </w:t>
      </w:r>
      <w:hyperlink r:id="rId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3"/>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3"/>
        <w:numPr>
          <w:ilvl w:val="0"/>
          <w:numId w:val="1"/>
        </w:numPr>
        <w:spacing w:after="120" w:before="0" w:line="276" w:lineRule="auto"/>
        <w:ind w:left="1094" w:hanging="357"/>
        <w:jc w:val="both"/>
        <w:rPr/>
      </w:pPr>
      <w:bookmarkStart w:colFirst="0" w:colLast="0" w:name="_1fob9te" w:id="2"/>
      <w:bookmarkEnd w:id="2"/>
      <w:r w:rsidDel="00000000" w:rsidR="00000000" w:rsidRPr="00000000">
        <w:rPr>
          <w:rFonts w:ascii="Cambria" w:cs="Cambria" w:eastAsia="Cambria" w:hAnsi="Cambria"/>
          <w:sz w:val="22"/>
          <w:szCs w:val="22"/>
          <w:rtl w:val="0"/>
        </w:rPr>
        <w:t xml:space="preserve">Еще два комитета парламента </w:t>
      </w:r>
      <w:r w:rsidDel="00000000" w:rsidR="00000000" w:rsidRPr="00000000">
        <w:rPr>
          <w:rFonts w:ascii="Cambria" w:cs="Cambria" w:eastAsia="Cambria" w:hAnsi="Cambria"/>
          <w:color w:val="1f3864"/>
          <w:sz w:val="22"/>
          <w:szCs w:val="22"/>
          <w:rtl w:val="0"/>
        </w:rPr>
        <w:t xml:space="preserve">одобрили </w:t>
      </w:r>
      <w:r w:rsidDel="00000000" w:rsidR="00000000" w:rsidRPr="00000000">
        <w:rPr>
          <w:rFonts w:ascii="Cambria" w:cs="Cambria" w:eastAsia="Cambria" w:hAnsi="Cambria"/>
          <w:color w:val="1f3864"/>
          <w:sz w:val="22"/>
          <w:szCs w:val="22"/>
          <w:highlight w:val="white"/>
          <w:rtl w:val="0"/>
        </w:rPr>
        <w:t xml:space="preserve">проекты нового Трудового кодекса КР и Закона КР «О введении в действие Трудового кодекса КР и внесении изменений в некоторые законодательные акты КР в сфере труда»</w:t>
      </w:r>
      <w:r w:rsidDel="00000000" w:rsidR="00000000" w:rsidRPr="00000000">
        <w:rPr>
          <w:rtl w:val="0"/>
        </w:rPr>
      </w:r>
    </w:p>
    <w:p w:rsidR="00000000" w:rsidDel="00000000" w:rsidP="00000000" w:rsidRDefault="00000000" w:rsidRPr="00000000" w14:paraId="00000021">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июня 2024 г. </w:t>
      </w:r>
      <w:hyperlink r:id="rId8">
        <w:r w:rsidDel="00000000" w:rsidR="00000000" w:rsidRPr="00000000">
          <w:rPr>
            <w:rFonts w:ascii="Cambria" w:cs="Cambria" w:eastAsia="Cambria" w:hAnsi="Cambria"/>
            <w:color w:val="0563c1"/>
            <w:sz w:val="22"/>
            <w:szCs w:val="22"/>
            <w:u w:val="single"/>
            <w:rtl w:val="0"/>
          </w:rPr>
          <w:t xml:space="preserve">Комитет по аграрной политике, водным ресурсам, экологии и региональному развитию</w:t>
        </w:r>
      </w:hyperlink>
      <w:r w:rsidDel="00000000" w:rsidR="00000000" w:rsidRPr="00000000">
        <w:rPr>
          <w:rFonts w:ascii="Cambria" w:cs="Cambria" w:eastAsia="Cambria" w:hAnsi="Cambria"/>
          <w:sz w:val="22"/>
          <w:szCs w:val="22"/>
          <w:rtl w:val="0"/>
        </w:rPr>
        <w:t xml:space="preserve"> и Комитет по бюджету, экономической и фискальной политике рассмотрели и одобрили проекты нового Трудового кодекса КР (проект нового ТК) и Закона КР «О введении в действие Трудового кодекса КР и внесении изменений в некоторые законодательные акты КР в сфере труда» (далее – законопроект) для их принятия в первом чтении.</w:t>
      </w:r>
    </w:p>
    <w:p w:rsidR="00000000" w:rsidDel="00000000" w:rsidP="00000000" w:rsidRDefault="00000000" w:rsidRPr="00000000" w14:paraId="00000022">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предыдущем номере Информационного бюллетеня № 54 была включена информация об основных положениях проекта нового ТК и законопроекта. </w:t>
      </w:r>
    </w:p>
    <w:p w:rsidR="00000000" w:rsidDel="00000000" w:rsidP="00000000" w:rsidRDefault="00000000" w:rsidRPr="00000000" w14:paraId="00000023">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текстами проекта нового Трудового кодекса и законопроекта можно </w:t>
      </w:r>
      <w:hyperlink r:id="rId9">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и </w:t>
      </w:r>
      <w:hyperlink r:id="rId10">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а с сопроводительными документами к ним - </w:t>
      </w:r>
      <w:hyperlink r:id="rId1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4">
      <w:pPr>
        <w:pStyle w:val="Heading3"/>
        <w:numPr>
          <w:ilvl w:val="0"/>
          <w:numId w:val="1"/>
        </w:numPr>
        <w:spacing w:after="120" w:before="0" w:line="276" w:lineRule="auto"/>
        <w:ind w:left="1094" w:hanging="357"/>
        <w:jc w:val="both"/>
        <w:rPr/>
      </w:pPr>
      <w:bookmarkStart w:colFirst="0" w:colLast="0" w:name="_3znysh7" w:id="3"/>
      <w:bookmarkEnd w:id="3"/>
      <w:r w:rsidDel="00000000" w:rsidR="00000000" w:rsidRPr="00000000">
        <w:rPr>
          <w:rFonts w:ascii="Cambria" w:cs="Cambria" w:eastAsia="Cambria" w:hAnsi="Cambria"/>
          <w:sz w:val="22"/>
          <w:szCs w:val="22"/>
          <w:rtl w:val="0"/>
        </w:rPr>
        <w:t xml:space="preserve">Инициированы поправки в Закон КР «Об информации персонального характера» и в Уголовный кодекс КР</w:t>
      </w:r>
    </w:p>
    <w:p w:rsidR="00000000" w:rsidDel="00000000" w:rsidP="00000000" w:rsidRDefault="00000000" w:rsidRPr="00000000" w14:paraId="00000025">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5 июня 2024 г. на сайте Жогорку Кенеша был зарегистрирован проект Закона КР «О внесении изменений в некоторые законодательные акты Кыргызской Республики (в Закон Кыргызской Республики «Об информации персонального характера», в Уголовный кодекс Кыргызской Республики)» (далее - законопроект), инициатором которого выступает депутат Жогорку Кенеша Малиев А.</w:t>
      </w:r>
    </w:p>
    <w:p w:rsidR="00000000" w:rsidDel="00000000" w:rsidP="00000000" w:rsidRDefault="00000000" w:rsidRPr="00000000" w14:paraId="00000026">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законопроект разработан с целью защиты конституционных прав граждан от недобросовестного использования технологий генерации поддельного контента и предотвращение распространения дезинформации, сохранения доверия к информационным ресурсам.</w:t>
      </w:r>
    </w:p>
    <w:p w:rsidR="00000000" w:rsidDel="00000000" w:rsidP="00000000" w:rsidRDefault="00000000" w:rsidRPr="00000000" w14:paraId="00000027">
      <w:pPr>
        <w:spacing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8">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предлагаются следующие изменения:</w:t>
      </w:r>
    </w:p>
    <w:p w:rsidR="00000000" w:rsidDel="00000000" w:rsidP="00000000" w:rsidRDefault="00000000" w:rsidRPr="00000000" w14:paraId="00000029">
      <w:pPr>
        <w:spacing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65" w:right="0" w:hanging="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 КР «Об информации персонального характера» предлагается дополнить новыми статьями 21-1 и 21-2 следующего содержания: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spacing w:after="120" w:line="276" w:lineRule="auto"/>
        <w:ind w:left="410" w:firstLine="0"/>
        <w:jc w:val="both"/>
        <w:rPr/>
      </w:pPr>
      <w:r w:rsidDel="00000000" w:rsidR="00000000" w:rsidRPr="00000000">
        <w:rPr>
          <w:rFonts w:ascii="Cambria" w:cs="Cambria" w:eastAsia="Cambria" w:hAnsi="Cambria"/>
          <w:i w:val="1"/>
          <w:iCs w:val="1"/>
          <w:sz w:val="22"/>
          <w:szCs w:val="22"/>
          <w:rtl w:val="0"/>
        </w:rPr>
        <w:t xml:space="preserve">«</w:t>
      </w:r>
      <w:r w:rsidDel="00000000" w:rsidR="00000000" w:rsidRPr="00000000">
        <w:rPr>
          <w:b w:val="1"/>
          <w:bCs w:val="1"/>
          <w:rtl w:val="0"/>
        </w:rPr>
        <w:t xml:space="preserve">Статья 21-1. Защита персональных данных от незаконной обработки.</w:t>
      </w:r>
      <w:r w:rsidDel="00000000" w:rsidR="00000000" w:rsidRPr="00000000">
        <w:rPr>
          <w:rtl w:val="0"/>
        </w:rPr>
      </w:r>
    </w:p>
    <w:p w:rsidR="00000000" w:rsidDel="00000000" w:rsidP="00000000" w:rsidRDefault="00000000" w:rsidRPr="00000000" w14:paraId="0000002D">
      <w:pPr>
        <w:spacing w:line="276" w:lineRule="auto"/>
        <w:ind w:firstLine="408"/>
        <w:jc w:val="both"/>
        <w:rPr/>
      </w:pPr>
      <w:r w:rsidDel="00000000" w:rsidR="00000000" w:rsidRPr="00000000">
        <w:rPr>
          <w:rtl w:val="0"/>
        </w:rPr>
        <w:t xml:space="preserve">Собственники и владельцы информационных систем, операторы базы, содержащей персональные данные, а также третьи лица получившие электронные информационные ресурсы, содержащие персональные данные, обязаны принимать меры по их защите в соответствии с настоящим Законом и правилами обработки электронных информационных ресурсов, содержащих персональные данные. Технологии синтеза контента, основанных на машинном обучении и искусственном интеллекте для обработки персональных данных регулируются правилами, установленными Кабинетом Министров Кыргызской Республики. </w:t>
      </w:r>
    </w:p>
    <w:p w:rsidR="00000000" w:rsidDel="00000000" w:rsidP="00000000" w:rsidRDefault="00000000" w:rsidRPr="00000000" w14:paraId="0000002E">
      <w:pPr>
        <w:spacing w:line="276" w:lineRule="auto"/>
        <w:ind w:firstLine="408"/>
        <w:jc w:val="both"/>
        <w:rPr/>
      </w:pPr>
      <w:r w:rsidDel="00000000" w:rsidR="00000000" w:rsidRPr="00000000">
        <w:rPr>
          <w:rtl w:val="0"/>
        </w:rPr>
      </w:r>
    </w:p>
    <w:p w:rsidR="00000000" w:rsidDel="00000000" w:rsidP="00000000" w:rsidRDefault="00000000" w:rsidRPr="00000000" w14:paraId="0000002F">
      <w:pPr>
        <w:spacing w:after="120" w:line="276" w:lineRule="auto"/>
        <w:ind w:left="410" w:firstLine="0"/>
        <w:jc w:val="both"/>
        <w:rPr>
          <w:b w:val="1"/>
          <w:bCs w:val="1"/>
        </w:rPr>
      </w:pPr>
      <w:r w:rsidDel="00000000" w:rsidR="00000000" w:rsidRPr="00000000">
        <w:rPr>
          <w:b w:val="1"/>
          <w:bCs w:val="1"/>
          <w:rtl w:val="0"/>
        </w:rPr>
        <w:t xml:space="preserve">Статья 21-2. Обязанности собственника и оператора, а также третьего лица по защите персональных данных.</w:t>
      </w:r>
    </w:p>
    <w:p w:rsidR="00000000" w:rsidDel="00000000" w:rsidP="00000000" w:rsidRDefault="00000000" w:rsidRPr="00000000" w14:paraId="00000030">
      <w:pPr>
        <w:spacing w:after="120" w:line="276" w:lineRule="auto"/>
        <w:ind w:firstLine="410"/>
        <w:jc w:val="both"/>
        <w:rPr/>
      </w:pPr>
      <w:r w:rsidDel="00000000" w:rsidR="00000000" w:rsidRPr="00000000">
        <w:rPr>
          <w:rtl w:val="0"/>
        </w:rPr>
        <w:t xml:space="preserve">Запрещается без согласия субъекта персональных данных обработка данных для создания изображений, аудио, видео, виртуальных сцен и другой информации, включая, помимо прочего: </w:t>
      </w:r>
    </w:p>
    <w:p w:rsidR="00000000" w:rsidDel="00000000" w:rsidP="00000000" w:rsidRDefault="00000000" w:rsidRPr="00000000" w14:paraId="00000031">
      <w:pPr>
        <w:spacing w:after="120" w:line="276" w:lineRule="auto"/>
        <w:ind w:firstLine="410"/>
        <w:jc w:val="both"/>
        <w:rPr/>
      </w:pPr>
      <w:r w:rsidDel="00000000" w:rsidR="00000000" w:rsidRPr="00000000">
        <w:rPr>
          <w:rtl w:val="0"/>
        </w:rPr>
        <w:t xml:space="preserve">а) преобразование текста в речь, преобразование голоса, редактирование атрибутов голоса; </w:t>
      </w:r>
    </w:p>
    <w:p w:rsidR="00000000" w:rsidDel="00000000" w:rsidP="00000000" w:rsidRDefault="00000000" w:rsidRPr="00000000" w14:paraId="00000032">
      <w:pPr>
        <w:spacing w:after="120" w:line="276" w:lineRule="auto"/>
        <w:ind w:firstLine="410"/>
        <w:jc w:val="both"/>
        <w:rPr/>
      </w:pPr>
      <w:r w:rsidDel="00000000" w:rsidR="00000000" w:rsidRPr="00000000">
        <w:rPr>
          <w:rtl w:val="0"/>
        </w:rPr>
        <w:t xml:space="preserve">б) генерация лиц, замена лиц, редактирование атрибутов персонажей, манипулирование лицами, манипулирование позами и другие технологии для создания или редактирования лиц и других биологических особенностей на изображениях и видеоконтенте; </w:t>
      </w:r>
    </w:p>
    <w:p w:rsidR="00000000" w:rsidDel="00000000" w:rsidP="00000000" w:rsidRDefault="00000000" w:rsidRPr="00000000" w14:paraId="00000033">
      <w:pPr>
        <w:spacing w:after="120" w:line="276" w:lineRule="auto"/>
        <w:ind w:firstLine="410"/>
        <w:jc w:val="both"/>
        <w:rPr/>
      </w:pPr>
      <w:r w:rsidDel="00000000" w:rsidR="00000000" w:rsidRPr="00000000">
        <w:rPr>
          <w:rtl w:val="0"/>
        </w:rPr>
        <w:t xml:space="preserve">в) улучшение изображения, восстановление изображения и другие редактирования небиологических особенностей изображений и видеоконтента; </w:t>
      </w:r>
    </w:p>
    <w:p w:rsidR="00000000" w:rsidDel="00000000" w:rsidP="00000000" w:rsidRDefault="00000000" w:rsidRPr="00000000" w14:paraId="00000034">
      <w:pPr>
        <w:spacing w:after="120" w:line="276" w:lineRule="auto"/>
        <w:ind w:firstLine="410"/>
        <w:jc w:val="both"/>
        <w:rPr>
          <w:rFonts w:ascii="Cambria" w:cs="Cambria" w:eastAsia="Cambria" w:hAnsi="Cambria"/>
          <w:sz w:val="22"/>
          <w:szCs w:val="22"/>
        </w:rPr>
      </w:pPr>
      <w:r w:rsidDel="00000000" w:rsidR="00000000" w:rsidRPr="00000000">
        <w:rPr>
          <w:rtl w:val="0"/>
        </w:rPr>
        <w:t xml:space="preserve">г) трехмерная реконструкция по технологии создания или редактирования виртуальных сцен</w:t>
      </w:r>
      <w:r w:rsidDel="00000000" w:rsidR="00000000" w:rsidRPr="00000000">
        <w:rPr>
          <w:rFonts w:ascii="Cambria" w:cs="Cambria" w:eastAsia="Cambria" w:hAnsi="Cambria"/>
          <w:i w:val="1"/>
          <w:iCs w:val="1"/>
          <w:sz w:val="22"/>
          <w:szCs w:val="22"/>
          <w:rtl w:val="0"/>
        </w:rPr>
        <w:t xml:space="preserve">.</w:t>
      </w:r>
      <w:r w:rsidDel="00000000" w:rsidR="00000000" w:rsidRPr="00000000">
        <w:rPr>
          <w:rtl w:val="0"/>
        </w:rPr>
      </w:r>
    </w:p>
    <w:p w:rsidR="00000000" w:rsidDel="00000000" w:rsidP="00000000" w:rsidRDefault="00000000" w:rsidRPr="00000000" w14:paraId="00000035">
      <w:pPr>
        <w:spacing w:after="120" w:line="276" w:lineRule="auto"/>
        <w:ind w:firstLine="41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65" w:right="0" w:hanging="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Статью 190 Уголовного кодекса КР предлагается дополнить частями 3 и 4 следующего содержания: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4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Использование и распространение сведений о лице, содержащих персональные данные, полученных без его согласия путем технологий синтеза контента, основанных на машинном обучении и искусственном интеллекте для обработки персональных данных, - наказывается исправительными работами на срок от одного года до трех лет либо заниматься определенной деятельностью на срок до трех лет или штрафом от 500 до 1000 расчетных показателей.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Совершение действий, предусмотренных частью третьей настоящей статьи, в публичном выступлении, в средствах массовой информации или с использованием сетей телекоммуникаций, в том числе через интернет,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 наказываются штрафом от 1000 до 2000 расчетных показателей или лишением права занимать определенные должности либо заниматься определенной деятельностью на срок до трех лет».</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1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08"/>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а также с сопроводительными документами к нему можно </w:t>
      </w:r>
      <w:hyperlink r:id="rId12">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08"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3"/>
        <w:numPr>
          <w:ilvl w:val="0"/>
          <w:numId w:val="1"/>
        </w:numPr>
        <w:spacing w:after="120" w:before="0" w:line="276" w:lineRule="auto"/>
        <w:ind w:left="1094" w:hanging="357"/>
        <w:jc w:val="both"/>
        <w:rPr/>
      </w:pPr>
      <w:bookmarkStart w:colFirst="0" w:colLast="0" w:name="_2et92p0" w:id="4"/>
      <w:bookmarkEnd w:id="4"/>
      <w:r w:rsidDel="00000000" w:rsidR="00000000" w:rsidRPr="00000000">
        <w:rPr>
          <w:rFonts w:ascii="Cambria" w:cs="Cambria" w:eastAsia="Cambria" w:hAnsi="Cambria"/>
          <w:sz w:val="22"/>
          <w:szCs w:val="22"/>
          <w:rtl w:val="0"/>
        </w:rPr>
        <w:t xml:space="preserve">Инициирован проект Постановления Кабинета Министров «Об утверждении положения о порядке проведения конкурса по поддержке молодежных инициатив в соответствии с целевыми программами»</w:t>
      </w:r>
    </w:p>
    <w:p w:rsidR="00000000" w:rsidDel="00000000" w:rsidP="00000000" w:rsidRDefault="00000000" w:rsidRPr="00000000" w14:paraId="0000003D">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7 июня 2024 г. в Едином портале общественного обсуждения проектов нормативных правовых актов КР (далее – Единый портал) на общественное обсуждение был вынесен проект Постановления Кабинета Министров «Об утверждении положения о порядке проведения конкурса по поддержке молодежных инициатив в соответствии с целевыми программами» (далее – проект постановления).</w:t>
      </w:r>
    </w:p>
    <w:p w:rsidR="00000000" w:rsidDel="00000000" w:rsidP="00000000" w:rsidRDefault="00000000" w:rsidRPr="00000000" w14:paraId="0000003E">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и задачей данного проекта постановления является реализация статьи 12 Закона Кыргызской Республики «О молодежи» и определение порядка проведения конкурса на поддержку молодежных инициатив в соответствии с целевыми программами.</w:t>
      </w:r>
    </w:p>
    <w:p w:rsidR="00000000" w:rsidDel="00000000" w:rsidP="00000000" w:rsidRDefault="00000000" w:rsidRPr="00000000" w14:paraId="0000003F">
      <w:pPr>
        <w:spacing w:after="120" w:line="276" w:lineRule="auto"/>
        <w:ind w:right="-40"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 Положения предусматривает участие молодежных организаций, молодежи, а также физических и юридических лиц, работа которых связана с реализацией молодежной политики, в разработке государственных и муниципальных программ в области молодежной политики. Данный проект Положения включает в себя порядок проведения и организации конкурса по поддержке молодежных инициатив в соответствии с целевыми программами, а также порядок участия в конкурсе. «</w:t>
      </w:r>
      <w:r w:rsidDel="00000000" w:rsidR="00000000" w:rsidRPr="00000000">
        <w:rPr>
          <w:rFonts w:ascii="Cambria" w:cs="Cambria" w:eastAsia="Cambria" w:hAnsi="Cambria"/>
          <w:i w:val="1"/>
          <w:iCs w:val="1"/>
          <w:sz w:val="22"/>
          <w:szCs w:val="22"/>
          <w:rtl w:val="0"/>
        </w:rPr>
        <w:t xml:space="preserve">Согласно предыдущему опыту, поддержка молодежных инициатив важна по ряду причин. Прежде всего, это будет способствовать созданию модели демократического суверенного государства в современных условиях. Во-вторых, гораздо сильнее позиции гражданского общества, где молодежь занимает достаточное место. В-третьих, вырастить предприимчивое, способное, свободное поколение</w:t>
      </w:r>
      <w:r w:rsidDel="00000000" w:rsidR="00000000" w:rsidRPr="00000000">
        <w:rPr>
          <w:rFonts w:ascii="Cambria" w:cs="Cambria" w:eastAsia="Cambria" w:hAnsi="Cambria"/>
          <w:sz w:val="22"/>
          <w:szCs w:val="22"/>
          <w:rtl w:val="0"/>
        </w:rPr>
        <w:t xml:space="preserve">», - отмечается в справке-обосновании.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Постановления можно </w:t>
      </w:r>
      <w:hyperlink r:id="rId1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организаций гражданского общества и другие заинтересованные лица могут написать свои комментарии к данному проекту Постановления в Едином портале до 6 июля 2024 г.</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3"/>
        <w:numPr>
          <w:ilvl w:val="0"/>
          <w:numId w:val="1"/>
        </w:numPr>
        <w:spacing w:after="120" w:before="0" w:line="276" w:lineRule="auto"/>
        <w:ind w:left="1094" w:hanging="357"/>
        <w:jc w:val="both"/>
        <w:rPr/>
      </w:pPr>
      <w:bookmarkStart w:colFirst="0" w:colLast="0" w:name="_tyjcwt" w:id="5"/>
      <w:bookmarkEnd w:id="5"/>
      <w:r w:rsidDel="00000000" w:rsidR="00000000" w:rsidRPr="00000000">
        <w:rPr>
          <w:rFonts w:ascii="Cambria" w:cs="Cambria" w:eastAsia="Cambria" w:hAnsi="Cambria"/>
          <w:sz w:val="22"/>
          <w:szCs w:val="22"/>
          <w:rtl w:val="0"/>
        </w:rPr>
        <w:t xml:space="preserve">Инициированы поправки в законы КР «О государственной поддержке малого предпринимательства», «О меценатстве и благотворительной деятельности»</w:t>
      </w:r>
      <w:r w:rsidDel="00000000" w:rsidR="00000000" w:rsidRPr="00000000">
        <w:rPr>
          <w:rtl w:val="0"/>
        </w:rPr>
      </w:r>
    </w:p>
    <w:p w:rsidR="00000000" w:rsidDel="00000000" w:rsidP="00000000" w:rsidRDefault="00000000" w:rsidRPr="00000000" w14:paraId="00000043">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 июня 2024 г. в Едином портале на общественное обсуждение был вынесен проект Закона КР «О внесении изменений в некоторые законодательные акты Кыргызской Республики (в законы Кыргызской Республики «О государственной поддержке малого предпринимательства», «О меценатстве и благотворительной деятельности») (далее – законопроект). Инициатором законопроекта является Кабинет Министров.</w:t>
      </w:r>
    </w:p>
    <w:p w:rsidR="00000000" w:rsidDel="00000000" w:rsidP="00000000" w:rsidRDefault="00000000" w:rsidRPr="00000000" w14:paraId="00000044">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законопроект разработан во исполнения пунктов  35 и 743 Плана мероприятий Кабинета Министров Кыргызской Республики по реализации Национальной программы развития Кыргызской Республики до 2026 года, утвержденного постановлением Кабинета Министров Кыргызской Республики от 25 декабря 2021 года № 352. Данные пункты предусматривают следующие меры:</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разработка законопроекта о внесении изменений и дополнений в Закон КР "О меценатстве и благотворительной деятельности" от 6 ноября 1999 года № 119 с целью гармонизации законодательства и усиления механизмов благотворительной помощи в период эпидемии, чрезвычайной ситуации/положения;</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разработка проекта Закона КР «О внесении изменений в Закон КР "О государственной поддержке малого предпринимательства"» в части закрепления понятий "социальное предпринимательство", "социальное предприятие".</w:t>
      </w:r>
    </w:p>
    <w:p w:rsidR="00000000" w:rsidDel="00000000" w:rsidP="00000000" w:rsidRDefault="00000000" w:rsidRPr="00000000" w14:paraId="00000047">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Таким образом, законопроектом предлагается:</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Законе КР "О государственной поддержке малого предпринимательства" закрепить понятия "социальное предпринимательство" и "социальное предприятие;</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Законе КР "О меценатстве и благотворительной деятельности":</w:t>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предусмотреть норму о благотворительной помощи в период эпидемии;</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определить, что наличные денежные средства, собранные с помощью «ящика для сбора благотворительных пожертвований», относятся к источникам формирования имущества благотворительной организации;</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что наименование имущества и сумма, собранная с помощью «ящика для сбора благотворительных пожертвований», подлежат опубликованию в интернет-ресурсе;</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что в случае осуществления публичных кампаний по сбору пожертвований благотворительная организация обязана ежегодно публиковать отчет о размерах привлеченных пожертвований и об их использовании не только в официальных печатных изданиях, но и на веб-страницах благотворительной организации, «Интернет-ресурсе».</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4">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организаций гражданского общества и другие заинтересованные лица могут написать свои комментарии к данному законопроекту в Едином портале до 7 июля 2024 г.</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3"/>
        <w:numPr>
          <w:ilvl w:val="0"/>
          <w:numId w:val="1"/>
        </w:numPr>
        <w:spacing w:after="120" w:before="0" w:line="276" w:lineRule="auto"/>
        <w:ind w:left="1094" w:hanging="357"/>
        <w:jc w:val="both"/>
        <w:rPr/>
      </w:pPr>
      <w:bookmarkStart w:colFirst="0" w:colLast="0" w:name="_3dy6vkm" w:id="6"/>
      <w:bookmarkEnd w:id="6"/>
      <w:r w:rsidDel="00000000" w:rsidR="00000000" w:rsidRPr="00000000">
        <w:rPr>
          <w:rFonts w:ascii="Cambria" w:cs="Cambria" w:eastAsia="Cambria" w:hAnsi="Cambria"/>
          <w:sz w:val="22"/>
          <w:szCs w:val="22"/>
          <w:rtl w:val="0"/>
        </w:rPr>
        <w:t xml:space="preserve">Жогорку Кенеш принял в третьем чтении проект Закона КР «О кибербезопасности Кыргызской Республики»</w:t>
      </w:r>
    </w:p>
    <w:p w:rsidR="00000000" w:rsidDel="00000000" w:rsidP="00000000" w:rsidRDefault="00000000" w:rsidRPr="00000000" w14:paraId="00000052">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12 июня 2024 г. Жогорку Кенеш принял в третьем чтении проект Закона КР «О кибербезопасности Кыргызской Республики» (далее законопроект).</w:t>
      </w:r>
    </w:p>
    <w:p w:rsidR="00000000" w:rsidDel="00000000" w:rsidP="00000000" w:rsidRDefault="00000000" w:rsidRPr="00000000" w14:paraId="00000053">
      <w:pPr>
        <w:spacing w:after="120" w:line="276" w:lineRule="auto"/>
        <w:ind w:firstLine="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Согласно справке-обоснованию, данный проект Закона был разработан </w:t>
      </w:r>
      <w:r w:rsidDel="00000000" w:rsidR="00000000" w:rsidRPr="00000000">
        <w:rPr>
          <w:rFonts w:ascii="Cambria" w:cs="Cambria" w:eastAsia="Cambria" w:hAnsi="Cambria"/>
          <w:i w:val="1"/>
          <w:iCs w:val="1"/>
          <w:sz w:val="22"/>
          <w:szCs w:val="22"/>
          <w:rtl w:val="0"/>
        </w:rPr>
        <w:t xml:space="preserve">«в целях установления правовых основ единой системы кибербезопасности, целью которой является защита личности, общества и государства путем обеспечения цифровой устойчивости информационной инфраструктуры КР». </w:t>
      </w:r>
      <w:r w:rsidDel="00000000" w:rsidR="00000000" w:rsidRPr="00000000">
        <w:rPr>
          <w:rFonts w:ascii="Cambria" w:cs="Cambria" w:eastAsia="Cambria" w:hAnsi="Cambria"/>
          <w:sz w:val="22"/>
          <w:szCs w:val="22"/>
          <w:rtl w:val="0"/>
        </w:rPr>
        <w:t xml:space="preserve">Более детальная информация об этом законопроекте ранее была включена в  </w:t>
      </w:r>
      <w:hyperlink r:id="rId15">
        <w:r w:rsidDel="00000000" w:rsidR="00000000" w:rsidRPr="00000000">
          <w:rPr>
            <w:rFonts w:ascii="Cambria" w:cs="Cambria" w:eastAsia="Cambria" w:hAnsi="Cambria"/>
            <w:color w:val="0563c1"/>
            <w:sz w:val="22"/>
            <w:szCs w:val="22"/>
            <w:u w:val="single"/>
            <w:rtl w:val="0"/>
          </w:rPr>
          <w:t xml:space="preserve">Информационный бюллетень №49</w:t>
        </w:r>
      </w:hyperlink>
      <w:r w:rsidDel="00000000" w:rsidR="00000000" w:rsidRPr="00000000">
        <w:rPr>
          <w:rFonts w:ascii="Cambria" w:cs="Cambria" w:eastAsia="Cambria" w:hAnsi="Cambria"/>
          <w:sz w:val="22"/>
          <w:szCs w:val="22"/>
          <w:rtl w:val="0"/>
        </w:rPr>
        <w:t xml:space="preserve"> от 5 марта 2024 г. </w:t>
      </w:r>
      <w:r w:rsidDel="00000000" w:rsidR="00000000" w:rsidRPr="00000000">
        <w:rPr>
          <w:rtl w:val="0"/>
        </w:rPr>
      </w:r>
    </w:p>
    <w:p w:rsidR="00000000" w:rsidDel="00000000" w:rsidP="00000000" w:rsidRDefault="00000000" w:rsidRPr="00000000" w14:paraId="00000054">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и сопроводительными документами к нему можно </w:t>
      </w:r>
      <w:hyperlink r:id="rId16">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563c1"/>
          <w:sz w:val="22"/>
          <w:szCs w:val="22"/>
          <w:u w:val="single"/>
          <w:rtl w:val="0"/>
        </w:rPr>
        <w:t xml:space="preserve">.</w:t>
      </w:r>
      <w:r w:rsidDel="00000000" w:rsidR="00000000" w:rsidRPr="00000000">
        <w:rPr>
          <w:rtl w:val="0"/>
        </w:rPr>
      </w:r>
    </w:p>
    <w:sectPr>
      <w:footerReference r:id="rId17" w:type="default"/>
      <w:footerReference r:id="rId18" w:type="first"/>
      <w:pgSz w:h="15840" w:w="12240" w:orient="portrait"/>
      <w:pgMar w:bottom="851"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70" w:hanging="360"/>
      </w:pPr>
      <w:rPr/>
    </w:lvl>
    <w:lvl w:ilvl="1">
      <w:start w:val="1"/>
      <w:numFmt w:val="lowerLetter"/>
      <w:lvlText w:val="%2."/>
      <w:lvlJc w:val="left"/>
      <w:pPr>
        <w:ind w:left="1490" w:hanging="360"/>
      </w:pPr>
      <w:rPr/>
    </w:lvl>
    <w:lvl w:ilvl="2">
      <w:start w:val="1"/>
      <w:numFmt w:val="lowerRoman"/>
      <w:lvlText w:val="%3."/>
      <w:lvlJc w:val="right"/>
      <w:pPr>
        <w:ind w:left="2210" w:hanging="180"/>
      </w:pPr>
      <w:rPr/>
    </w:lvl>
    <w:lvl w:ilvl="3">
      <w:start w:val="1"/>
      <w:numFmt w:val="decimal"/>
      <w:lvlText w:val="%4."/>
      <w:lvlJc w:val="left"/>
      <w:pPr>
        <w:ind w:left="2930" w:hanging="360"/>
      </w:pPr>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s://kenesh.kg/bills/651733" TargetMode="External"/><Relationship Id="rId10" Type="http://schemas.openxmlformats.org/officeDocument/2006/relationships/hyperlink" Target="https://icnlalliance-my.sharepoint.com/:w:/g/personal/akurmanalieva_icnlalliance_kg/EZoecbapAwRJk_vl9qgfXosBDS8am0vOUvhss_DVatZg0A?e=LvGGuc" TargetMode="External"/><Relationship Id="rId13" Type="http://schemas.openxmlformats.org/officeDocument/2006/relationships/hyperlink" Target="http://koomtalkuu.gov.kg/ru/view-npa/3898" TargetMode="External"/><Relationship Id="rId12" Type="http://schemas.openxmlformats.org/officeDocument/2006/relationships/hyperlink" Target="https://kenesh.kg/ru/bills/public/31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nlalliance-my.sharepoint.com/:w:/g/personal/akurmanalieva_icnlalliance_kg/EcyxcZiM4fdMmu-bRDE9mC8Bu38dEhN_iwtL5R6uOS5c_A?e=ULcop2" TargetMode="External"/><Relationship Id="rId15" Type="http://schemas.openxmlformats.org/officeDocument/2006/relationships/hyperlink" Target="https://icnlalliance-my.sharepoint.com/:w:/g/personal/akurmanalieva_icnlalliance_kg/EW3EJMAK9dJDqvNd21WOJlsB7hEAT8SBj9cCI0IJE2k34g?e=oHOww3" TargetMode="External"/><Relationship Id="rId14" Type="http://schemas.openxmlformats.org/officeDocument/2006/relationships/hyperlink" Target="http://koomtalkuu.gov.kg/ru/view-npa/3912" TargetMode="External"/><Relationship Id="rId17" Type="http://schemas.openxmlformats.org/officeDocument/2006/relationships/footer" Target="footer1.xml"/><Relationship Id="rId16" Type="http://schemas.openxmlformats.org/officeDocument/2006/relationships/hyperlink" Target="https://kenesh.kg/bills/649254"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koomtalkuu.gov.kg/ru/view-npa/3138" TargetMode="External"/><Relationship Id="rId8" Type="http://schemas.openxmlformats.org/officeDocument/2006/relationships/hyperlink" Target="https://www.kenesh.kg/ru/posts/92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y fmtid="{D5CDD505-2E9C-101B-9397-08002B2CF9AE}" pid="3" name="ContentTypeId">
    <vt:lpwstr>0x0101007137CFD7E6B38C47B6A41708AA13AD73</vt:lpwstr>
  </property>
</Properties>
</file>