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57</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июля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1227306920"/>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Сниженные ставки страховых взносов по государственному страхованию предположительно начнут применяться с 1 августа 2024 г.</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Инициирована доработанная версия проекта Закона «О средствах массовой информации»</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во втором и третьем чтениях проект Закона «О внесении изменений в Гражданский кодекс Кыргызской Республики»</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Кабинет Министров утвердил Положение о порядке осуществления, стимулирования и поощрения молодежной волонтерской деятельности</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rPr>
          <w:rFonts w:ascii="Cambria" w:cs="Cambria" w:eastAsia="Cambria" w:hAnsi="Cambria"/>
          <w:color w:val="2e75b5"/>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0D">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0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1">
      <w:pPr>
        <w:tabs>
          <w:tab w:val="left" w:leader="none" w:pos="5498"/>
        </w:tabs>
        <w:rPr>
          <w:rFonts w:ascii="Cambria" w:cs="Cambria" w:eastAsia="Cambria" w:hAnsi="Cambria"/>
          <w:color w:val="2e75b5"/>
          <w:sz w:val="22"/>
          <w:szCs w:val="22"/>
        </w:rPr>
      </w:pPr>
      <w:r w:rsidDel="00000000" w:rsidR="00000000" w:rsidRPr="00000000">
        <w:rPr>
          <w:rFonts w:ascii="Cambria" w:cs="Cambria" w:eastAsia="Cambria" w:hAnsi="Cambria"/>
          <w:color w:val="2e75b5"/>
          <w:sz w:val="22"/>
          <w:szCs w:val="22"/>
          <w:rtl w:val="0"/>
        </w:rPr>
        <w:tab/>
      </w:r>
    </w:p>
    <w:p w:rsidR="00000000" w:rsidDel="00000000" w:rsidP="00000000" w:rsidRDefault="00000000" w:rsidRPr="00000000" w14:paraId="00000012">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3">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4">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5">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6">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7">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8">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9">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A">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B">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C">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E">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1F">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20">
      <w:pPr>
        <w:rPr>
          <w:rFonts w:ascii="Cambria" w:cs="Cambria" w:eastAsia="Cambria" w:hAnsi="Cambria"/>
          <w:color w:val="2e75b5"/>
          <w:sz w:val="22"/>
          <w:szCs w:val="22"/>
        </w:rPr>
      </w:pPr>
      <w:r w:rsidDel="00000000" w:rsidR="00000000" w:rsidRPr="00000000">
        <w:rPr>
          <w:rtl w:val="0"/>
        </w:rPr>
      </w:r>
    </w:p>
    <w:p w:rsidR="00000000" w:rsidDel="00000000" w:rsidP="00000000" w:rsidRDefault="00000000" w:rsidRPr="00000000" w14:paraId="00000021">
      <w:pPr>
        <w:pStyle w:val="Heading3"/>
        <w:numPr>
          <w:ilvl w:val="0"/>
          <w:numId w:val="1"/>
        </w:numPr>
        <w:spacing w:after="120" w:before="0" w:line="276" w:lineRule="auto"/>
        <w:ind w:left="1094" w:hanging="357"/>
        <w:jc w:val="both"/>
        <w:rPr/>
      </w:pPr>
      <w:bookmarkStart w:colFirst="0" w:colLast="0" w:name="_30j0zll" w:id="1"/>
      <w:bookmarkEnd w:id="1"/>
      <w:r w:rsidDel="00000000" w:rsidR="00000000" w:rsidRPr="00000000">
        <w:rPr>
          <w:rFonts w:ascii="Cambria" w:cs="Cambria" w:eastAsia="Cambria" w:hAnsi="Cambria"/>
          <w:sz w:val="22"/>
          <w:szCs w:val="22"/>
          <w:rtl w:val="0"/>
        </w:rPr>
        <w:t xml:space="preserve">Сниженные ставки страховых взносов по государственному страхованию предположительно начнут применяться с 1 августа 2024 г.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упоминалось ранее в </w:t>
      </w:r>
      <w:hyperlink r:id="rId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Информационном бюллетене №56,</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20 июня 2024 г. депутаты Жогорку Кенеша КР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рассмотрели и принял</w:t>
        </w:r>
      </w:hyperlink>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во втором и третьем чтениях проект Закона КР «О внесении изменений в некоторые законодательные акты Кыргызской Республики в сфере налогообложения и социального страхования» (далее – законопроект).</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9 июля 2024 года представитель Министерства экономики КР </w:t>
      </w:r>
      <w:hyperlink r:id="rId9">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сообщил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что сниженные ставки страховых взносов по государственному страхованию в размере 12,25% начнут применяться с первого числа месяца, следующего за месяцем подписания Президентом КР законопроекта. Таким образом, ожидается, что сниженные ставки начнут действовать с 1 августа 2024 года, если Президент КР подпишет законопроект в июле 2024 года.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Напоминаем, что Законопроектом предлагается:</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для работодателей сниженную ставку страховых взносов по государственному социальному страхованию в размере 2,25 % (действующая в настоящее время ставка равна 17,25%) от всех видов выплат, начисленных в пользу нанятых работников. Ставки страховых взносов работников не меняются, остаются в размере 10%, итого платежи работодателей и работников по государственному социальному страхованию вместе составят 12,25% (в настоящее время данные платежи составляют 27,25%). Некоммерческие организации (НКО) также будут платить страховые вносы по государственному социальному страхованию по сниженным ставкам в размере 12,25% из них платежи работника составят – 10%, платежи работодателя – 2,25%. Снижение страховых взносов не распространяется на:</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организации, финансируемые из государственного бюджета;</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некоторые виды горнодобывающих предприятий;</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организации, осуществляющие деятельность по обеспечению (снабжению) электроэнергией, теплоэнергией и газом;</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субъекты предпринимательства, занимающиеся производством и/или импортом алкогольных и табачных изделий, а также горюче-смазочных материалов;</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субъекты, осуществляющие деятельность в сфере сотовой связи и интернет-провайдеров;</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178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коммерческие банки, специализированные финансово-кредитные и кредитные учреждения.</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3" w:right="0" w:hanging="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статью 153 Трудового кодекса КР третьей частью следующего содержания: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Выплата заработной платы работодателем – юридическим лицом -должна производиться в безналичной форме</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Внести в Кодекс КР о правонарушениях норму, предусматривающую ответственность за нарушение требования по ведению реестра налогового агента по наемным работникам, в виде наложения штрафа на физических лиц в размере 30 расчетных показателей, на юридических лиц – 65 расчетных показателей.</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25"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Внести в Налоговый кодекс КР (НК КР) следующие изменения:</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43"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Дополнить часть 1 статьи 51 пунктом следующего содержания: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Через свой кабинет налогоплательщика вести Реестр налогового агента по наемным работникам и обеспечивать актуальные сведения по физическим лицам, являющимся наемными работниками и состоящими с ним в трудовых отношениях. Настоящий пункт не распространяется на организации, финансируемые из государственного бюджета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843" w:right="0" w:hanging="356.9999999999999"/>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Разграничить деятельность субъектов предпринимательства в случаях, когда Кыргызстан не является местом происхождения реализуемых товаров, облагаемых налогом на прибыль по ставке 3%, при осуществлении деятельности вне территории Кыргызстана, путем дополнения статьи 206 НК КР понятием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деятельность вне территории Кыргызской Республики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1423" w:right="0" w:hanging="357"/>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другие изменения.</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а также с сопроводительными документами к нему можно </w:t>
      </w:r>
      <w:hyperlink r:id="rId10">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numPr>
          <w:ilvl w:val="0"/>
          <w:numId w:val="1"/>
        </w:numPr>
        <w:spacing w:after="120" w:before="0" w:line="276" w:lineRule="auto"/>
        <w:ind w:left="1094" w:hanging="357"/>
        <w:jc w:val="both"/>
        <w:rPr/>
      </w:pPr>
      <w:bookmarkStart w:colFirst="0" w:colLast="0" w:name="_3znysh7" w:id="3"/>
      <w:bookmarkEnd w:id="3"/>
      <w:r w:rsidDel="00000000" w:rsidR="00000000" w:rsidRPr="00000000">
        <w:rPr>
          <w:rFonts w:ascii="Cambria" w:cs="Cambria" w:eastAsia="Cambria" w:hAnsi="Cambria"/>
          <w:sz w:val="22"/>
          <w:szCs w:val="22"/>
          <w:rtl w:val="0"/>
        </w:rPr>
        <w:t xml:space="preserve">Инициирована доработанная версия проекта Закона «О средствах массовой информации»</w:t>
      </w:r>
    </w:p>
    <w:p w:rsidR="00000000" w:rsidDel="00000000" w:rsidP="00000000" w:rsidRDefault="00000000" w:rsidRPr="00000000" w14:paraId="00000035">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известно, 28 июня 2024 г. Министерство культуры, информации, спорта и молодежной политики КР во время встречи с представителями медиа-сообщества, гражданского общества и иными заинтересованными лицами, вынесло на общественное обсуждение шестую версию проекта Закона КР «О средствах массовой информации».</w:t>
      </w:r>
    </w:p>
    <w:p w:rsidR="00000000" w:rsidDel="00000000" w:rsidP="00000000" w:rsidRDefault="00000000" w:rsidRPr="00000000" w14:paraId="00000036">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июля 2024 г. в Едином портале общественного обсуждения проектов нормативных правовых актов (далее - Единый портал) на общественное обсуждение была вынесена доработанная версия проекта Закона КР «О средствах массовой информации», инициатором которого выступает Министерство культуры, информации, спорта и молодежной политики КР.</w:t>
      </w:r>
    </w:p>
    <w:p w:rsidR="00000000" w:rsidDel="00000000" w:rsidP="00000000" w:rsidRDefault="00000000" w:rsidRPr="00000000" w14:paraId="00000037">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к законопроекту, данный законопроект направлен на реализацию права на свободу выражения мнения, свободу слова и печати, получение и распространение информации, обеспечение информационной безопасности и регулирование связанных с этими правами общественных отношений. Также он предполагает совершенствование законодательства в сфере массовой информации, что (по мнению инициатора законопроекта) будет способствовать созданию независимых, ответственных и конкурентоспособных средств массовой информации.</w:t>
      </w:r>
    </w:p>
    <w:p w:rsidR="00000000" w:rsidDel="00000000" w:rsidP="00000000" w:rsidRDefault="00000000" w:rsidRPr="00000000" w14:paraId="00000038">
      <w:pPr>
        <w:spacing w:after="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Данной версией законопроекта предлагается:</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основанием для прекращения судом деятельности СМИ - неоднократное (более двух раз в течение двенадцати месяцев) нарушение Закона о СМИ, если уполномоченным государственным органом в сфере информации были вынесены соответствующие письменные предупреждения учредителю и (или) редакции (редактору), которые не были исполнены.</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Добровольная регистрация сетевых изданий, аудио-, видео- и кинохроникальных программ. В отличие от предыдущих версий законопроекта, где требовалась обязательная регистрация всех СМИ, включая онлайн-платформы, в новой версии законопроекта предлагается добровольная регистрация для сетевых изданий, аудио-, видео- и кинохроникальных программ. </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Расширить понятие «Редакция СМИ», - включить в него не только коллектив, привлеченный на основании заключенных трудовых договоров, но и физических и юридических лиц, участвующих в производстве и выпуске распространяемых материалов в СМИ на основе гражданско-правовых договоров. </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Ввести понятие «общественный интерес», которое будет служить критерием для определения необходимости ограничения свободы слова. Это понятие уточняет условия освобождения СМИ от ответственности за распространение недостоверной информации, например, если она была получена из официальных источников или является дословным воспроизведением публичных выступлений.</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Ввести обязанность СМИ сохранять в тайне источник информации, если это было оговорено с лицом, предоставившим такие сведения.</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Установить четкие правовые критерии для ограничения распространения информации, такие как призывы к насилию, разжигание вражды, пропаганда порнографии и другие аналогичные действия.</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9" w:right="0" w:hanging="357"/>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Уточнить условия, при которых СМИ, редакция и журналисты освобождаются от ответственности за распространение недостоверной или порочащей информации, которые будут включать следующие случаи: информация была получена из официальных источников, информация является дословным воспроизведением публичных выступлений, информация была распространена другими СМИ, которые могут быть привлечены к ответственности за эту информацию.</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429"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иные положения.</w:t>
      </w:r>
    </w:p>
    <w:p w:rsidR="00000000" w:rsidDel="00000000" w:rsidP="00000000" w:rsidRDefault="00000000" w:rsidRPr="00000000" w14:paraId="00000041">
      <w:pPr>
        <w:spacing w:line="276" w:lineRule="auto"/>
        <w:ind w:firstLine="709"/>
        <w:jc w:val="both"/>
        <w:rPr>
          <w:rFonts w:ascii="Cambria" w:cs="Cambria" w:eastAsia="Cambria" w:hAnsi="Cambria"/>
          <w:sz w:val="22"/>
          <w:szCs w:val="22"/>
        </w:rPr>
      </w:pPr>
      <w:bookmarkStart w:colFirst="0" w:colLast="0" w:name="_2et92p0" w:id="4"/>
      <w:bookmarkEnd w:id="4"/>
      <w:r w:rsidDel="00000000" w:rsidR="00000000" w:rsidRPr="00000000">
        <w:rPr>
          <w:rFonts w:ascii="Cambria" w:cs="Cambria" w:eastAsia="Cambria" w:hAnsi="Cambria"/>
          <w:sz w:val="22"/>
          <w:szCs w:val="22"/>
          <w:rtl w:val="0"/>
        </w:rPr>
        <w:t xml:space="preserve">Ознакомиться с текстом законопроекта и с сопроводительными документами к нему можно </w:t>
      </w:r>
      <w:hyperlink r:id="rId11">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 Представители организаций гражданского общества и другие заинтересованные лица могут написать свои комментарии к данному законопроекту в Едином портале до 8 августа 2024 г.</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numPr>
          <w:ilvl w:val="0"/>
          <w:numId w:val="1"/>
        </w:numPr>
        <w:spacing w:after="120" w:before="0" w:line="276" w:lineRule="auto"/>
        <w:ind w:left="1094" w:hanging="357"/>
        <w:jc w:val="both"/>
        <w:rPr/>
      </w:pPr>
      <w:bookmarkStart w:colFirst="0" w:colLast="0" w:name="_tyjcwt" w:id="5"/>
      <w:bookmarkEnd w:id="5"/>
      <w:r w:rsidDel="00000000" w:rsidR="00000000" w:rsidRPr="00000000">
        <w:rPr>
          <w:rFonts w:ascii="Cambria" w:cs="Cambria" w:eastAsia="Cambria" w:hAnsi="Cambria"/>
          <w:sz w:val="22"/>
          <w:szCs w:val="22"/>
          <w:rtl w:val="0"/>
        </w:rPr>
        <w:t xml:space="preserve">Жогорку Кенеш принял во втором и третьем чтениях проект Закона «О внесении изменений в Гражданский кодекс Кыргызской Республики»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27 июня 2024 г. Жогорку Кенеш </w:t>
      </w:r>
      <w:hyperlink r:id="rId12">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рассмотрел и принял</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во втором и в третьем чтениях проект Закона КР «О внесении изменений в Гражданский кодекс Кыргызской Республики».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Как упоминалось ранее в </w:t>
      </w:r>
      <w:hyperlink r:id="rId1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Информационном бюллетене №53</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7 мая 2024 г. на сайте Жогорку Кенеша был зарегистрирован проект Закона КР «О внесении изменений в Гражданский кодекс Кыргызской Республики», инициатором которого является депутат Жогорку Кенеша Маматалиев М.</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Законопроектом предлагается дополнить ч. 1 статьи 89 Гражданского кодекса КР нормой, которая запрещает применение слов, терминов, определений религиозного характера в фирменном наименовании юридического лица, за исключением религиозных некоммерческих организаций, в уставе которых не указывается основной целью извлечение прибыли, а также юридических лиц, предоставляющих услуги в соответствии с исламскими принципам финансирования.</w:t>
      </w:r>
      <w:r w:rsidDel="00000000" w:rsidR="00000000" w:rsidRPr="00000000">
        <w:rPr>
          <w:rtl w:val="0"/>
        </w:rPr>
      </w:r>
    </w:p>
    <w:p w:rsidR="00000000" w:rsidDel="00000000" w:rsidP="00000000" w:rsidRDefault="00000000" w:rsidRPr="00000000" w14:paraId="00000047">
      <w:pPr>
        <w:spacing w:after="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Ознакомиться с текстом законопроекта и сопроводительными документами к нему можно </w:t>
      </w:r>
      <w:hyperlink r:id="rId14">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color w:val="000000"/>
          <w:sz w:val="22"/>
          <w:szCs w:val="22"/>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3"/>
        <w:numPr>
          <w:ilvl w:val="0"/>
          <w:numId w:val="1"/>
        </w:numPr>
        <w:spacing w:before="0" w:line="276" w:lineRule="auto"/>
        <w:ind w:left="1094" w:hanging="357"/>
        <w:jc w:val="both"/>
        <w:rPr/>
      </w:pPr>
      <w:bookmarkStart w:colFirst="0" w:colLast="0" w:name="_3dy6vkm" w:id="6"/>
      <w:bookmarkEnd w:id="6"/>
      <w:r w:rsidDel="00000000" w:rsidR="00000000" w:rsidRPr="00000000">
        <w:rPr>
          <w:rFonts w:ascii="Cambria" w:cs="Cambria" w:eastAsia="Cambria" w:hAnsi="Cambria"/>
          <w:sz w:val="22"/>
          <w:szCs w:val="22"/>
          <w:rtl w:val="0"/>
        </w:rPr>
        <w:t xml:space="preserve">Кабинет Министров утвердил Положение о порядке осуществления, стимулирования и поощрения молодежной волонтерской деятельности</w:t>
      </w:r>
      <w:r w:rsidDel="00000000" w:rsidR="00000000" w:rsidRPr="00000000">
        <w:rPr>
          <w:rtl w:val="0"/>
        </w:rPr>
      </w:r>
    </w:p>
    <w:p w:rsidR="00000000" w:rsidDel="00000000" w:rsidP="00000000" w:rsidRDefault="00000000" w:rsidRPr="00000000" w14:paraId="0000004A">
      <w:pPr>
        <w:spacing w:after="120"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28 июня 2024 г. Кабинета Министров </w:t>
      </w:r>
      <w:hyperlink r:id="rId15">
        <w:r w:rsidDel="00000000" w:rsidR="00000000" w:rsidRPr="00000000">
          <w:rPr>
            <w:rFonts w:ascii="Cambria" w:cs="Cambria" w:eastAsia="Cambria" w:hAnsi="Cambria"/>
            <w:color w:val="0563c1"/>
            <w:sz w:val="22"/>
            <w:szCs w:val="22"/>
            <w:u w:val="single"/>
            <w:rtl w:val="0"/>
          </w:rPr>
          <w:t xml:space="preserve">принял</w:t>
        </w:r>
      </w:hyperlink>
      <w:r w:rsidDel="00000000" w:rsidR="00000000" w:rsidRPr="00000000">
        <w:rPr>
          <w:rFonts w:ascii="Cambria" w:cs="Cambria" w:eastAsia="Cambria" w:hAnsi="Cambria"/>
          <w:sz w:val="22"/>
          <w:szCs w:val="22"/>
          <w:rtl w:val="0"/>
        </w:rPr>
        <w:t xml:space="preserve"> Постановление «Об утверждении Положения о порядке осуществления, стимулирования и поощрения молодежной волонтерской деятельности». </w:t>
      </w:r>
    </w:p>
    <w:p w:rsidR="00000000" w:rsidDel="00000000" w:rsidP="00000000" w:rsidRDefault="00000000" w:rsidRPr="00000000" w14:paraId="0000004B">
      <w:pPr>
        <w:spacing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упоминалось ранее в </w:t>
      </w:r>
      <w:hyperlink r:id="rId16">
        <w:r w:rsidDel="00000000" w:rsidR="00000000" w:rsidRPr="00000000">
          <w:rPr>
            <w:rFonts w:ascii="Cambria" w:cs="Cambria" w:eastAsia="Cambria" w:hAnsi="Cambria"/>
            <w:color w:val="0563c1"/>
            <w:sz w:val="22"/>
            <w:szCs w:val="22"/>
            <w:u w:val="single"/>
            <w:rtl w:val="0"/>
          </w:rPr>
          <w:t xml:space="preserve">Информационном бюллетене № 52</w:t>
        </w:r>
      </w:hyperlink>
      <w:r w:rsidDel="00000000" w:rsidR="00000000" w:rsidRPr="00000000">
        <w:rPr>
          <w:rFonts w:ascii="Cambria" w:cs="Cambria" w:eastAsia="Cambria" w:hAnsi="Cambria"/>
          <w:sz w:val="22"/>
          <w:szCs w:val="22"/>
          <w:rtl w:val="0"/>
        </w:rPr>
        <w:t xml:space="preserve">, 22 апреля 2024 г. в Едином портале на общественное обсуждение был вынесен проект Постановления Кабинета Министров «Об утверждении Положения о порядке осуществления, стимулирования и поощрения молодежной волонтерской деятельности», инициатором которого является Министерство культуры, информации, спорта и молодежной политики КР. В соответствии с Положением, молодежная волонтерская деятельность осуществляется на добровольных началах в различных формах без получения денежного вознаграждения, в ходе которой волонтеры могут приобретать знания, опыт, навыки и демонстрировать свои способности. Положение устанавливает две меры стимулирования волонтерской деятельности: творческо-организационную (направленная на получение новых знаний, навыков, умений, опыта профессиональной деятельности и карьерного роста) и социально-психологическую (включает в себя общественное признание, награды, благодарности и другие меры).</w:t>
      </w:r>
    </w:p>
    <w:p w:rsidR="00000000" w:rsidDel="00000000" w:rsidP="00000000" w:rsidRDefault="00000000" w:rsidRPr="00000000" w14:paraId="0000004C">
      <w:pPr>
        <w:spacing w:before="24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color w:val="000000"/>
          <w:sz w:val="22"/>
          <w:szCs w:val="22"/>
          <w:rtl w:val="0"/>
        </w:rPr>
        <w:t xml:space="preserve">Ознакомиться с текстом Постановления можно </w:t>
      </w:r>
      <w:hyperlink r:id="rId17">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tl w:val="0"/>
        </w:rPr>
        <w:t xml:space="preserve">, а с текстом Положения </w:t>
      </w:r>
      <w:hyperlink r:id="rId18">
        <w:r w:rsidDel="00000000" w:rsidR="00000000" w:rsidRPr="00000000">
          <w:rPr>
            <w:color w:val="0563c1"/>
            <w:u w:val="single"/>
            <w:rtl w:val="0"/>
          </w:rPr>
          <w:t xml:space="preserve">здесь</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tabs>
          <w:tab w:val="left" w:leader="none" w:pos="2826"/>
        </w:tabs>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E">
      <w:pPr>
        <w:spacing w:line="276"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ab/>
      </w:r>
    </w:p>
    <w:sectPr>
      <w:footerReference r:id="rId19" w:type="default"/>
      <w:footerReference r:id="rId20" w:type="first"/>
      <w:pgSz w:h="15840" w:w="12240" w:orient="portrait"/>
      <w:pgMar w:bottom="709"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25" w:hanging="360"/>
      </w:pPr>
      <w:rPr/>
    </w:lvl>
    <w:lvl w:ilvl="1">
      <w:start w:val="1"/>
      <w:numFmt w:val="bullet"/>
      <w:lvlText w:val="o"/>
      <w:lvlJc w:val="left"/>
      <w:pPr>
        <w:ind w:left="2145" w:hanging="360"/>
      </w:pPr>
      <w:rPr>
        <w:rFonts w:ascii="Courier New" w:cs="Courier New" w:eastAsia="Courier New" w:hAnsi="Courier New"/>
      </w:rPr>
    </w:lvl>
    <w:lvl w:ilvl="2">
      <w:start w:val="1"/>
      <w:numFmt w:val="bullet"/>
      <w:lvlText w:val="▪"/>
      <w:lvlJc w:val="left"/>
      <w:pPr>
        <w:ind w:left="2865" w:hanging="360"/>
      </w:pPr>
      <w:rPr>
        <w:rFonts w:ascii="Noto Sans Symbols" w:cs="Noto Sans Symbols" w:eastAsia="Noto Sans Symbols" w:hAnsi="Noto Sans Symbols"/>
      </w:rPr>
    </w:lvl>
    <w:lvl w:ilvl="3">
      <w:start w:val="1"/>
      <w:numFmt w:val="bullet"/>
      <w:lvlText w:val="●"/>
      <w:lvlJc w:val="left"/>
      <w:pPr>
        <w:ind w:left="3585" w:hanging="360"/>
      </w:pPr>
      <w:rPr>
        <w:rFonts w:ascii="Noto Sans Symbols" w:cs="Noto Sans Symbols" w:eastAsia="Noto Sans Symbols" w:hAnsi="Noto Sans Symbols"/>
      </w:rPr>
    </w:lvl>
    <w:lvl w:ilvl="4">
      <w:start w:val="1"/>
      <w:numFmt w:val="bullet"/>
      <w:lvlText w:val="o"/>
      <w:lvlJc w:val="left"/>
      <w:pPr>
        <w:ind w:left="4305" w:hanging="360"/>
      </w:pPr>
      <w:rPr>
        <w:rFonts w:ascii="Courier New" w:cs="Courier New" w:eastAsia="Courier New" w:hAnsi="Courier New"/>
      </w:rPr>
    </w:lvl>
    <w:lvl w:ilvl="5">
      <w:start w:val="1"/>
      <w:numFmt w:val="bullet"/>
      <w:lvlText w:val="▪"/>
      <w:lvlJc w:val="left"/>
      <w:pPr>
        <w:ind w:left="5025" w:hanging="360"/>
      </w:pPr>
      <w:rPr>
        <w:rFonts w:ascii="Noto Sans Symbols" w:cs="Noto Sans Symbols" w:eastAsia="Noto Sans Symbols" w:hAnsi="Noto Sans Symbols"/>
      </w:rPr>
    </w:lvl>
    <w:lvl w:ilvl="6">
      <w:start w:val="1"/>
      <w:numFmt w:val="bullet"/>
      <w:lvlText w:val="●"/>
      <w:lvlJc w:val="left"/>
      <w:pPr>
        <w:ind w:left="5745" w:hanging="360"/>
      </w:pPr>
      <w:rPr>
        <w:rFonts w:ascii="Noto Sans Symbols" w:cs="Noto Sans Symbols" w:eastAsia="Noto Sans Symbols" w:hAnsi="Noto Sans Symbols"/>
      </w:rPr>
    </w:lvl>
    <w:lvl w:ilvl="7">
      <w:start w:val="1"/>
      <w:numFmt w:val="bullet"/>
      <w:lvlText w:val="o"/>
      <w:lvlJc w:val="left"/>
      <w:pPr>
        <w:ind w:left="6465" w:hanging="360"/>
      </w:pPr>
      <w:rPr>
        <w:rFonts w:ascii="Courier New" w:cs="Courier New" w:eastAsia="Courier New" w:hAnsi="Courier New"/>
      </w:rPr>
    </w:lvl>
    <w:lvl w:ilvl="8">
      <w:start w:val="1"/>
      <w:numFmt w:val="bullet"/>
      <w:lvlText w:val="▪"/>
      <w:lvlJc w:val="left"/>
      <w:pPr>
        <w:ind w:left="7185" w:hanging="360"/>
      </w:pPr>
      <w:rPr>
        <w:rFonts w:ascii="Noto Sans Symbols" w:cs="Noto Sans Symbols" w:eastAsia="Noto Sans Symbols" w:hAnsi="Noto Sans Symbols"/>
      </w:rPr>
    </w:lvl>
  </w:abstractNum>
  <w:abstractNum w:abstractNumId="3">
    <w:lvl w:ilvl="0">
      <w:start w:val="1"/>
      <w:numFmt w:val="decimal"/>
      <w:lvlText w:val="%1)"/>
      <w:lvlJc w:val="left"/>
      <w:pPr>
        <w:ind w:left="1785" w:hanging="360"/>
      </w:pPr>
      <w:rPr/>
    </w:lvl>
    <w:lvl w:ilvl="1">
      <w:start w:val="1"/>
      <w:numFmt w:val="lowerLetter"/>
      <w:lvlText w:val="%2."/>
      <w:lvlJc w:val="left"/>
      <w:pPr>
        <w:ind w:left="2505" w:hanging="360"/>
      </w:pPr>
      <w:rPr/>
    </w:lvl>
    <w:lvl w:ilvl="2">
      <w:start w:val="1"/>
      <w:numFmt w:val="lowerRoman"/>
      <w:lvlText w:val="%3."/>
      <w:lvlJc w:val="right"/>
      <w:pPr>
        <w:ind w:left="3225" w:hanging="180"/>
      </w:pPr>
      <w:rPr/>
    </w:lvl>
    <w:lvl w:ilvl="3">
      <w:start w:val="1"/>
      <w:numFmt w:val="decimal"/>
      <w:lvlText w:val="%4."/>
      <w:lvlJc w:val="left"/>
      <w:pPr>
        <w:ind w:left="3945" w:hanging="360"/>
      </w:pPr>
      <w:rPr/>
    </w:lvl>
    <w:lvl w:ilvl="4">
      <w:start w:val="1"/>
      <w:numFmt w:val="lowerLetter"/>
      <w:lvlText w:val="%5."/>
      <w:lvlJc w:val="left"/>
      <w:pPr>
        <w:ind w:left="4665" w:hanging="360"/>
      </w:pPr>
      <w:rPr/>
    </w:lvl>
    <w:lvl w:ilvl="5">
      <w:start w:val="1"/>
      <w:numFmt w:val="lowerRoman"/>
      <w:lvlText w:val="%6."/>
      <w:lvlJc w:val="right"/>
      <w:pPr>
        <w:ind w:left="5385" w:hanging="180"/>
      </w:pPr>
      <w:rPr/>
    </w:lvl>
    <w:lvl w:ilvl="6">
      <w:start w:val="1"/>
      <w:numFmt w:val="decimal"/>
      <w:lvlText w:val="%7."/>
      <w:lvlJc w:val="left"/>
      <w:pPr>
        <w:ind w:left="6105" w:hanging="360"/>
      </w:pPr>
      <w:rPr/>
    </w:lvl>
    <w:lvl w:ilvl="7">
      <w:start w:val="1"/>
      <w:numFmt w:val="lowerLetter"/>
      <w:lvlText w:val="%8."/>
      <w:lvlJc w:val="left"/>
      <w:pPr>
        <w:ind w:left="6825" w:hanging="360"/>
      </w:pPr>
      <w:rPr/>
    </w:lvl>
    <w:lvl w:ilvl="8">
      <w:start w:val="1"/>
      <w:numFmt w:val="lowerRoman"/>
      <w:lvlText w:val="%9."/>
      <w:lvlJc w:val="right"/>
      <w:pPr>
        <w:ind w:left="7545" w:hanging="180"/>
      </w:pPr>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koomtalkuu.gov.kg/ru/view-npa/3984" TargetMode="External"/><Relationship Id="rId10" Type="http://schemas.openxmlformats.org/officeDocument/2006/relationships/hyperlink" Target="https://kenesh.kg/ru/bills/651906" TargetMode="External"/><Relationship Id="rId13" Type="http://schemas.openxmlformats.org/officeDocument/2006/relationships/hyperlink" Target="https://icnlalliance-my.sharepoint.com/:w:/g/personal/akhmetov_icnlalliance_kg/Ee614McfnDlEsD-3kxjWeVcBdE2Ip4q4M0Scaqgp1CtiEg?e=hAy24K" TargetMode="External"/><Relationship Id="rId12" Type="http://schemas.openxmlformats.org/officeDocument/2006/relationships/hyperlink" Target="https://kenesh.kg/ru/posts/960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azabek.kg/news:2129466/?from=kgnews&amp;place=maincats" TargetMode="External"/><Relationship Id="rId15" Type="http://schemas.openxmlformats.org/officeDocument/2006/relationships/hyperlink" Target="https://www.gov.kg/ru/post/s/24348-utverzdeno-polozenie-o-poryadke-osushhestvleniya-stimulirovaniya-i-pooshhreniya-molodeznoi-volonterskoi-deyatelnosti" TargetMode="External"/><Relationship Id="rId14" Type="http://schemas.openxmlformats.org/officeDocument/2006/relationships/hyperlink" Target="https://kenesh.kg/bills/651453" TargetMode="External"/><Relationship Id="rId17" Type="http://schemas.openxmlformats.org/officeDocument/2006/relationships/hyperlink" Target="https://icnlalliance-my.sharepoint.com/:w:/g/personal/akurmanalieva_icnlalliance_kg/EaFVcBuRkL1Dq9UPf6956fYBdME1fC0_op-grc6pUvn--A?e=asdZoU" TargetMode="External"/><Relationship Id="rId16" Type="http://schemas.openxmlformats.org/officeDocument/2006/relationships/hyperlink" Target="https://icnlalliance-my.sharepoint.com/:w:/g/personal/akhmetov_icnlalliance_kg/EdxghF2vGO9PsBabX0yGzCoBfrzbAQHXN-h5VlaHnlKNHg?e=BbmBb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yperlink" Target="https://icnlalliance-my.sharepoint.com/:w:/g/personal/akurmanalieva_icnlalliance_kg/EYn4syUGz6lDmvOsAffoFHQB4EZiGFbJBjlndz4p-cWMyQ?e=GnTIcf" TargetMode="External"/><Relationship Id="rId7" Type="http://schemas.openxmlformats.org/officeDocument/2006/relationships/hyperlink" Target="https://icnlalliance-my.sharepoint.com/:w:/g/personal/akhmetov_icnlalliance_kg/EcSoGGS2KKxMnlbdT2CXBTgBRM2DO1igZAzPc_bIkrT06w?e=enfGtd" TargetMode="External"/><Relationship Id="rId8" Type="http://schemas.openxmlformats.org/officeDocument/2006/relationships/hyperlink" Target="https://kenesh.kg/posts/95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