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61</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сентября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531409588"/>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Принято Постановление «О мерах по реализации Закона Кыргызской Республики «О некоммерческих организациях»»</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КР «О свободе вероисповедания и религиозных объединениях»</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КР «О внесении изменений в некоторые законодательные акты в религиозной сфере»</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законопроект «О творческих союзах Кыргызской Республики»</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поправки в некоторые законодательные акты, регулирующие экстремистскую деятельность</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поправки в Кодексы КР о детях, правонарушениях, Закон КР «О меценатстве и благотворительной деятельности»</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s8eyo1">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hyperlink>
          <w:hyperlink w:anchor="_2s8eyo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Профильный комитет одобрил законопроект «О внесении изменений в некоторые законодательные акты Кыргызской Республики в сфере доступа к информации» в первом чтении</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line="276" w:lineRule="auto"/>
        <w:ind w:left="720" w:firstLine="0"/>
        <w:rPr>
          <w:rFonts w:ascii="Cambria" w:cs="Cambria" w:eastAsia="Cambria" w:hAnsi="Cambria"/>
          <w:i w:val="1"/>
          <w:iCs w:val="1"/>
          <w:color w:val="2e75b5"/>
        </w:rPr>
      </w:pPr>
      <w:bookmarkStart w:colFirst="0" w:colLast="0" w:name="_gjdgxs" w:id="0"/>
      <w:bookmarkEnd w:id="0"/>
      <w:r w:rsidDel="00000000" w:rsidR="00000000" w:rsidRPr="00000000">
        <w:rPr>
          <w:rFonts w:ascii="Cambria" w:cs="Cambria" w:eastAsia="Cambria" w:hAnsi="Cambria"/>
          <w:i w:val="1"/>
          <w:iCs w:val="1"/>
          <w:rtl w:val="0"/>
        </w:rPr>
        <w:t xml:space="preserve">Ознакомиться со всеми предыдущими выпусками информационных бюллетеней на русском и кыргызском языках можно </w:t>
      </w:r>
      <w:hyperlink r:id="rId7">
        <w:r w:rsidDel="00000000" w:rsidR="00000000" w:rsidRPr="00000000">
          <w:rPr>
            <w:rFonts w:ascii="Cambria" w:cs="Cambria" w:eastAsia="Cambria" w:hAnsi="Cambria"/>
            <w:i w:val="1"/>
            <w:iCs w:val="1"/>
            <w:color w:val="0563c1"/>
            <w:u w:val="single"/>
            <w:rtl w:val="0"/>
          </w:rPr>
          <w:t xml:space="preserve">здесь</w:t>
        </w:r>
      </w:hyperlink>
      <w:r w:rsidDel="00000000" w:rsidR="00000000" w:rsidRPr="00000000">
        <w:rPr>
          <w:rFonts w:ascii="Cambria" w:cs="Cambria" w:eastAsia="Cambria" w:hAnsi="Cambria"/>
          <w:i w:val="1"/>
          <w:iCs w:val="1"/>
          <w:color w:val="2e75b5"/>
          <w:rtl w:val="0"/>
        </w:rPr>
        <w:t xml:space="preserve">.</w:t>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3">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4">
      <w:pPr>
        <w:tabs>
          <w:tab w:val="left" w:leader="none" w:pos="5498"/>
        </w:tabs>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pStyle w:val="Heading3"/>
        <w:spacing w:after="120" w:before="0" w:line="276"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numPr>
          <w:ilvl w:val="0"/>
          <w:numId w:val="1"/>
        </w:numPr>
        <w:spacing w:after="120" w:before="0" w:line="276" w:lineRule="auto"/>
        <w:ind w:left="1094" w:hanging="357"/>
        <w:jc w:val="both"/>
        <w:rPr/>
      </w:pPr>
      <w:bookmarkStart w:colFirst="0" w:colLast="0" w:name="_30j0zll" w:id="1"/>
      <w:bookmarkEnd w:id="1"/>
      <w:r w:rsidDel="00000000" w:rsidR="00000000" w:rsidRPr="00000000">
        <w:rPr>
          <w:rFonts w:ascii="Cambria" w:cs="Cambria" w:eastAsia="Cambria" w:hAnsi="Cambria"/>
          <w:sz w:val="22"/>
          <w:szCs w:val="22"/>
          <w:rtl w:val="0"/>
        </w:rPr>
        <w:t xml:space="preserve">Принято Постановление «О мерах по реализации Закона Кыргызской Республики «О некоммерческих организациях»»</w:t>
      </w:r>
    </w:p>
    <w:p w:rsidR="00000000" w:rsidDel="00000000" w:rsidP="00000000" w:rsidRDefault="00000000" w:rsidRPr="00000000" w14:paraId="0000001B">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известно, 2 апреля 2024 года был принят Закон КР «О внесении изменений в Закон Кыргызской Республики «О некоммерческих организациях»», который предусматривает регистрацию НКО, получающих иностранное финансирование и осуществляющих «политическую деятельность», в специальном «Реестре НКО, выполняющих функции иностранного представителя».</w:t>
      </w:r>
    </w:p>
    <w:p w:rsidR="00000000" w:rsidDel="00000000" w:rsidP="00000000" w:rsidRDefault="00000000" w:rsidRPr="00000000" w14:paraId="0000001C">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16 мая 2024 г. Министерство юстиции (МЮ) Кыргызской Республики (КР) утвердило </w:t>
      </w:r>
      <w:hyperlink r:id="rId8">
        <w:r w:rsidDel="00000000" w:rsidR="00000000" w:rsidRPr="00000000">
          <w:rPr>
            <w:rFonts w:ascii="Cambria" w:cs="Cambria" w:eastAsia="Cambria" w:hAnsi="Cambria"/>
            <w:color w:val="0563c1"/>
            <w:sz w:val="22"/>
            <w:szCs w:val="22"/>
            <w:u w:val="single"/>
            <w:rtl w:val="0"/>
          </w:rPr>
          <w:t xml:space="preserve">Положение</w:t>
        </w:r>
      </w:hyperlink>
      <w:r w:rsidDel="00000000" w:rsidR="00000000" w:rsidRPr="00000000">
        <w:rPr>
          <w:rFonts w:ascii="Cambria" w:cs="Cambria" w:eastAsia="Cambria" w:hAnsi="Cambria"/>
          <w:sz w:val="22"/>
          <w:szCs w:val="22"/>
          <w:rtl w:val="0"/>
        </w:rPr>
        <w:t xml:space="preserve"> о порядке ведения Реестра некоммерческих организаций (НКО), выполняющих функции иностранного представителя (ИП), и проведения проверки их деятельности (далее – Положение МЮ).</w:t>
      </w:r>
    </w:p>
    <w:p w:rsidR="00000000" w:rsidDel="00000000" w:rsidP="00000000" w:rsidRDefault="00000000" w:rsidRPr="00000000" w14:paraId="0000001D">
      <w:pPr>
        <w:spacing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E">
      <w:pPr>
        <w:spacing w:line="276" w:lineRule="auto"/>
        <w:ind w:firstLine="720"/>
        <w:jc w:val="both"/>
        <w:rPr>
          <w:rFonts w:ascii="Cambria" w:cs="Cambria" w:eastAsia="Cambria" w:hAnsi="Cambria"/>
          <w:sz w:val="22"/>
          <w:szCs w:val="22"/>
        </w:rPr>
      </w:pPr>
      <w:bookmarkStart w:colFirst="0" w:colLast="0" w:name="_1fob9te" w:id="2"/>
      <w:bookmarkEnd w:id="2"/>
      <w:r w:rsidDel="00000000" w:rsidR="00000000" w:rsidRPr="00000000">
        <w:rPr>
          <w:rFonts w:ascii="Cambria" w:cs="Cambria" w:eastAsia="Cambria" w:hAnsi="Cambria"/>
          <w:sz w:val="22"/>
          <w:szCs w:val="22"/>
          <w:rtl w:val="0"/>
        </w:rPr>
        <w:t xml:space="preserve">Однако, 27 августа 2024 г. Кабинет Министров КР принял Постановление №518 «О мерах по реализации Закона Кыргызской Республики «О некоммерческих организациях»». Данное Постановление утверждает новое Положение о порядке ведения реестра некоммерческих организаций, выполняющих функции иностранного представителя, и проведения проверки их деятельности (далее – новое Положение), а также устанавливает, что уполномоченным государственным органом по ведению Реестра некоммерческих организаций, выполняющих функции иностранного представителя (далее – Реестр), является МЮ КР. Согласно Постановлению, заявления о включении в Реестр подаются МЮ КР в течение 2 (двух) месяцев со дня вступления в силу данного Постановления.</w:t>
      </w:r>
    </w:p>
    <w:p w:rsidR="00000000" w:rsidDel="00000000" w:rsidP="00000000" w:rsidRDefault="00000000" w:rsidRPr="00000000" w14:paraId="0000001F">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Несмотря на то, что новое Положение дублирует многие нормы Положения МЮ, имеются и некоторые отличия. Ниже Вы найдете основные изменения в новой версии Положения:</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Новое Положение устанавливает более сложную и длительную процедуру исключения НКО-ИП из Реестра.</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пункту 25 Положения, для того чтобы быть исключенными из Реестра, НКО – ИП должны прекратить осуществление «политической деятельности» и/или получение иностранного финансирования за 12 месяцев до подачи заявления на исключение из Реестра (в Положении МЮ требовалось всего два месяца). Так как новое Положение также предоставляет МЮ КР дополнительные 60 дней для проверки информации, представленной НКО – ИП для исключения из Реестра, НКО не может быть исключена из Реестра в течение как минимум 14 месяцев после того, как она будет соответствовать критериям для исключения из Реестра. Это нововведение вынуждает НКО оставаться в Реестре на гораздо более длительный срок, даже если они уже соответствуют условиям для исключения.</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соответствии с новым Положением, любое заявление от государственного органа или средств массовой информации (СМИ) о предполагаемом нарушении Закона КР «О некоммерческих организациях» является достаточным основанием для начала проверки. В отличие от Положения МЮ, которое требовало, чтобы такие заявления были поданы только в письменной форме, новое Положение не уточняет формат подачи заявлений.</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случае, если НКО – ИП не выполняет требование о маркировке всех материалов как произведенных иностранными представителями, такие нарушения признаются устраненными только после предоставления заключения «уполномоченного государственного органа в области информации». Положение МЮ не требовала такого документа.</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соответствии с новым Положением, если заявление НКО – ИП об исключении из Реестра отклонено, данное решение может быть обжаловано в соответствии с Законом КР «Об основах административной деятельности и административных процедур». Это положение создает дополнительное бремя для НКО, так как они обязаны сначала обжаловать решение в МЮ, прежде чем подать жалобу в суд.</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Новое Положение устанавливает обязательство для НКО – ИП предоставлять банковские реквизиты для включения в Реестр, включая</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номер банковского счета, наименование банка, банковский идентификационный номер и код ОКПО (Общереспубликанский классификатор предприятий и организаций). Данная информация, как и другие данные в Реестре, будет доступна для публичного просмотра.</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новому Положению, НКО, квалифицирующие под определение «иностранных представителей», обязуются подать заявление на регистрацию в Реестре в течение пяти дней после начала «политической деятельности» и/или получения иностранного финансирования. В Положении МЮ требовалось подавать заявление на включение в Реестр «незамедлительно» после начала «политической деятельности».</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Новое Положение устанавливает обязанность НКО предоставлять информацию о своих сотрудниках, заключивших срочные трудовые договоры, а также о договорах найма (или договор аренды согласно законодательству КР). В Положении МЮ данное требование касалось сотрудников, осуществляющие трудовую деятельность как внутри, так и «вне штата», что могло трактоваться как предоставление информации как о независимых подрядчиках, так и о штатных сотрудниках НКО.</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новому Положению</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уполномоченный государственный орган (МЮ КР) обязан принять решение о включении НКО в Реестр в течение 10 дней с даты подачи заявления о регистрации НКО – ИП. В положении МЮ данный срок для принятия решения о включении в реестр установлен не был.</w:t>
      </w:r>
      <w:r w:rsidDel="00000000" w:rsidR="00000000" w:rsidRPr="00000000">
        <w:rPr>
          <w:rtl w:val="0"/>
        </w:rPr>
      </w:r>
    </w:p>
    <w:p w:rsidR="00000000" w:rsidDel="00000000" w:rsidP="00000000" w:rsidRDefault="00000000" w:rsidRPr="00000000" w14:paraId="00000028">
      <w:pPr>
        <w:spacing w:before="240"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Постановления и Положения Вы можете </w:t>
      </w:r>
      <w:hyperlink r:id="rId9">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и </w:t>
      </w:r>
      <w:hyperlink r:id="rId10">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pStyle w:val="Heading3"/>
        <w:numPr>
          <w:ilvl w:val="0"/>
          <w:numId w:val="1"/>
        </w:numPr>
        <w:spacing w:after="120" w:before="0" w:line="276" w:lineRule="auto"/>
        <w:ind w:left="1094" w:hanging="357"/>
        <w:jc w:val="both"/>
        <w:rPr/>
      </w:pPr>
      <w:bookmarkStart w:colFirst="0" w:colLast="0" w:name="_3znysh7" w:id="3"/>
      <w:bookmarkEnd w:id="3"/>
      <w:r w:rsidDel="00000000" w:rsidR="00000000" w:rsidRPr="00000000">
        <w:rPr>
          <w:rFonts w:ascii="Cambria" w:cs="Cambria" w:eastAsia="Cambria" w:hAnsi="Cambria"/>
          <w:sz w:val="22"/>
          <w:szCs w:val="22"/>
          <w:rtl w:val="0"/>
        </w:rPr>
        <w:t xml:space="preserve">Инициирован проект Закона КР «О свободе вероисповедания и религиозных объединениях»</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30 августа 2024 г. в Едином портале общественного обсуждения проектов нормативных правовых актов (далее - Единый портал) для общественного обсуждения опубликован проект Закона КР «О свободе вероисповедания и религиозных объединениях». Инициатором данного законопроекта является Кабинет Министров КР.</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справке-обоснованию, законопроект был разработан с целью</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практической реализации положений новой Конституции Кыргызской Республики от 5 мая 2021 года в сфере обеспечения прав на свободу вероисповедания и деятельности религиозных объединений.</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дает определения таким терминам как как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миссионер, проповедник, религиозная организация, религиозный благотворительный фонд,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а также предусматривает три формы существования религиозных объединений: местные, региональные и республиканские. Местные объединения создаются по инициативе не менее двухсот граждан и действуют в пределах одного района или города. Региональные объединения требуют участия не менее пятисот граждан и представляют два или более местных объединений, охватывая несколько районов. Республиканские объединения формируются при участии не менее двух тысяч граждан, представляющих все области и республиканские города, и имеют подразделения по всей стране.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также предлагает внести запреты на: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проведение публичных мероприятий и размещение материалов в СМИ и интернете, которые оскорбляют религиозные чувства граждан;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установление преимуществ или ограничений в отношении одной религии по сравнению с другой;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возложение на религиозные организации функций государственных органов или местного самоуправления;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издание, тиражирование и реализация религиозных материалов без согласования с уполномоченным органом;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подомовой и поквартирный обход для распространения религии, а также любые действия, противоречащие национальной культуре и направленные на насильственное обращение в веру;</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создание партий и иных политических формирований на религиозной основе, а также участие религиозных объединений в политической деятельности или ее финансирование религиозными деятелями, в том числе через СМИ и сети Интернет;</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участие религиозных деятелей в выборах, включая баллотирование в выборные органы страны, участие в предвыборных агитационных мероприятиях, внесение денежных средств в избирательные фонды политических партий и кандидатов в депутаты Жогорку Кенеша, местных кенешей и Президенты КР, а также любое вмешательство в деятельность государственных органов и органов местного самоуправления, включая оказание давления на их должностных лиц в любой форме;</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проведение предвыборной агитации, собраний и других мероприятий политического характера в объектах религиозного назначения;</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преследование религиозными объединениями и их представителями политических целей, участие в выборах государственных органов и органов местного самоуправления;</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создание религиозных объединений в государственных органах, органах местного самоуправления, государственных и муниципальных учреждениях, а также в соединениях, частях и подразделениях Вооруженных Сил;</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функционирование религиозных объединений, деятельность которых направлена на насильственное изменение конституционного строя, подрыв национальной безопасности, разжигание социальной, расовой, межнациональной и религиозной розни;</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использование служебного или должностного положения для продвижения религии, воспрепятствования религиозной деятельности или дискриминации на основе вероисповедания;</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использование религиозных риторик для достижения политических целей депутатами, муниципальными и государственными служащими;</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нарушать их бесперебойное функционирование, снизить степень управляемости в стране;</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для последователей религиозных организаций нарушать этические нормы поведения и не поддерживать опрятный внешний вид;</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вовлечение лиц, не достигших возраста совершеннолетия в религиозные организации (действующая версия Закона запрещала вовлечение детей в религиозные организации);</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обучение граждан КР в зарубежных религиозных образовательных учреждениях без согласования с уполномоченным государственным органом по делам религий;</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преподавание религиоведческих дисциплин для всех уровней образования в индивидуальном порядке и вне религиозного учебного заведения;</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2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безвозмездную передачу движимого и недвижимого имущества, находящегося в государственной, муниципальной и частной собственности, в собственность или иное право субъектам религиозной деятельности.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 сентября 2024 года под председательством Президента КР Садыра Жапарова прошло </w:t>
      </w:r>
      <w:hyperlink r:id="rId11">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совещание</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 участием заместителя Председателя Кабинета Министров, депутата Жогорку Кенеша Шарапаткан Мажитовой, советника Президента, Генерального прокурора, заместителя министра внутренних дел, председателя Государственной комиссии по делам религий, главы Духовного управления мусульман КР, председателя и членов Совета улемов, а также известных религиозных деятелей и других лиц.</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ходе совещания участники обсудили проект Закона КР «О свободе вероисповедания и религиозных организациях» и выразили свои мнения. Президент отметил, что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при разработке данного законопроекта необходимо учитывать интересы всех слоев общества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и призвал известных улемов активно вносить предложения по данному законопроекту. Глава государства также акцентировал внимание на важности обеспечения безопасности государства и граждан, подчеркнув необходимость работы религиозных деятелей в духе единства и избегания разобщенности.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 итогам совещания, с учетом мнений всех сторон, согласованный вариант законопроекта будет представлен на рассмотрение Жогорку Кенеша.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организаций гражданского общества и другие заинтересованные лица могут написать свои комментарии по данному законопроекту в Едином портале до 29 сентября 2024 г.</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3"/>
        <w:numPr>
          <w:ilvl w:val="0"/>
          <w:numId w:val="1"/>
        </w:numPr>
        <w:tabs>
          <w:tab w:val="left" w:leader="none" w:pos="2826"/>
        </w:tabs>
        <w:spacing w:before="0" w:line="276" w:lineRule="auto"/>
        <w:ind w:left="1094" w:hanging="357"/>
        <w:jc w:val="both"/>
        <w:rPr/>
      </w:pPr>
      <w:bookmarkStart w:colFirst="0" w:colLast="0" w:name="_2et92p0" w:id="4"/>
      <w:bookmarkEnd w:id="4"/>
      <w:r w:rsidDel="00000000" w:rsidR="00000000" w:rsidRPr="00000000">
        <w:rPr>
          <w:rFonts w:ascii="Cambria" w:cs="Cambria" w:eastAsia="Cambria" w:hAnsi="Cambria"/>
          <w:sz w:val="22"/>
          <w:szCs w:val="22"/>
          <w:rtl w:val="0"/>
        </w:rPr>
        <w:t xml:space="preserve">Инициирован проект Закона КР «О внесении изменений в некоторые законодательные акты в религиозной сфере»</w:t>
      </w:r>
    </w:p>
    <w:p w:rsidR="00000000" w:rsidDel="00000000" w:rsidP="00000000" w:rsidRDefault="00000000" w:rsidRPr="00000000" w14:paraId="00000048">
      <w:pPr>
        <w:spacing w:after="12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30 августа 2024 г. в Едином портале для общественного обсуждения опубликован проект Закона КР «О внесении изменений в некоторые законодательные акты в религиозной сфере» (Законы КР «О политических партиях», «О статусе депутатов местных кенешей», «О статусе депутата Жогорку Кенеша Кыргызской Республики»,  «О выборах депутатов местных кенешей», Кодекс Кыргызской Республики о правонарушениях) (далее - законопроект), инициатором которого является Кабинет Министров КР.</w:t>
      </w:r>
    </w:p>
    <w:p w:rsidR="00000000" w:rsidDel="00000000" w:rsidP="00000000" w:rsidRDefault="00000000" w:rsidRPr="00000000" w14:paraId="00000049">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Целью данного законопроекта, согласно справке-обоснованию к законопроекту, является </w:t>
      </w:r>
      <w:r w:rsidDel="00000000" w:rsidR="00000000" w:rsidRPr="00000000">
        <w:rPr>
          <w:rFonts w:ascii="Cambria" w:cs="Cambria" w:eastAsia="Cambria" w:hAnsi="Cambria"/>
          <w:i w:val="1"/>
          <w:iCs w:val="1"/>
          <w:sz w:val="22"/>
          <w:szCs w:val="22"/>
          <w:rtl w:val="0"/>
        </w:rPr>
        <w:t xml:space="preserve">реализация прав и обязанностей граждан и религиозных объединений в их деятельности и приведение законодательных актов в религиозной сфере в соответствие с законом Кыргызской Республики «О свободе вероисповедания и религиозных объединениях».</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A">
      <w:pPr>
        <w:spacing w:line="276" w:lineRule="auto"/>
        <w:ind w:firstLine="709"/>
        <w:jc w:val="both"/>
        <w:rPr>
          <w:rFonts w:ascii="Cambria" w:cs="Cambria" w:eastAsia="Cambria" w:hAnsi="Cambria"/>
          <w:sz w:val="22"/>
          <w:szCs w:val="22"/>
        </w:rPr>
      </w:pPr>
      <w:r w:rsidDel="00000000" w:rsidR="00000000" w:rsidRPr="00000000">
        <w:rPr>
          <w:rtl w:val="0"/>
        </w:rPr>
        <w:tab/>
      </w:r>
      <w:r w:rsidDel="00000000" w:rsidR="00000000" w:rsidRPr="00000000">
        <w:rPr>
          <w:rFonts w:ascii="Cambria" w:cs="Cambria" w:eastAsia="Cambria" w:hAnsi="Cambria"/>
          <w:sz w:val="22"/>
          <w:szCs w:val="22"/>
          <w:rtl w:val="0"/>
        </w:rPr>
        <w:t xml:space="preserve">Законопроектом предлагается внести соответствующие изменения в вышеупомянутые нормативные правовые акты и внести запрет на осуществление следующих действий: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ношение одежды, не позволяющей идентифицировать личность гражданина в учреждениях органов государственной власти и общественных местах, за исключением одежды, связанной с трудовой и служебной деятельностью, а также закрывающей лицо по медицинским показаниям;</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создание политических партий на религиозной основе, а также участие политических партий в религиозной деятельности;</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создание и деятельность политических партий зарубежных государств, а также их подразделений;</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отображение и иное использование при проведении предвыборной агитации в наименовании политической партии и в агитационных материалах частей и элементов информации (изображений), содержащих прямые и косвенные заимствования или ссылки на религиозную тематику;</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финансирование деятельности политических партий субъектами религиозной деятельности;</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совмещение полномочий депутата Жогорку Кенеша или местных кенешей КР с осуществлением религиозной деятельности;</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применение и распространение информации религиозного содержания при проведении предвыборной агитации в местные кенеши КР;</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воспрепятствование деятельности религиозных организаций, религиозных учебных заведений, проповедников зарубежных религиозных организаций или совершению религиозных обрядов, а также воспрепятствование свободному выбору и выражению религиозных и иных убеждений, либо принуждение к их выражению, смене или отказу от них;</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приглашение религиозных деятелей, проповедников и проповедников зарубежных религиозных организаций для проведения религиозных обрядов, собраний и иных религиозных мероприятий в домах престарелых и инвалидов, исправительных учреждениях отбывания наказания, следственных изоляторах, а также в соединениях, частях и подразделениях Вооруженных Сил без согласования с уполномоченным государственным органом по делам религий;</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проведение предвыборной агитации, собраний и других мероприятий политического характера в объектах религиозного назначения;</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вмешательство религиозных организаций или их представителей в деятельность органов государственной власти, местного самоуправления и их должностных лиц;</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преподавание религиозных дисциплин в индивидуальном порядке вне религиозного учебного заведения;</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распространение религиозной литературы, иных религиозных печатных, аудио-, видеоматериалов в независимости от носителей информации в общественных местах, а также путем обхода жилых помещений, государственных и муниципальных организациях, в дошкольных образовательных и общеобразовательных организациях;</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осуществление религиозной деятельности, использование объекта религиозного назначения без соответствующей учетной регистрации в уполномоченном государственном органе по делам религий;</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0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дискриминации в устной, письменной форме по отношению к человеку или группе на основании религиозной принадлежности (в том числе сети интернет).</w:t>
      </w:r>
    </w:p>
    <w:p w:rsidR="00000000" w:rsidDel="00000000" w:rsidP="00000000" w:rsidRDefault="00000000" w:rsidRPr="00000000" w14:paraId="0000005A">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Осуществление вышеупомянутых действий влечет за собой штраф в размере 200 расчетных показателей (или 20 000 сомов) для физических лиц и 650 расчетных показателей (или 65 000 сомов) для юридических лиц.</w:t>
      </w:r>
    </w:p>
    <w:p w:rsidR="00000000" w:rsidDel="00000000" w:rsidP="00000000" w:rsidRDefault="00000000" w:rsidRPr="00000000" w14:paraId="0000005B">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сопроводительными документами к нему можно </w:t>
      </w:r>
      <w:hyperlink r:id="rId13">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Представители организаций гражданского общества и другие заинтересованные лица могут написать свои комментарии по данному законопроекту в Едином портале до 29 сентября 2024 г.</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numPr>
          <w:ilvl w:val="0"/>
          <w:numId w:val="1"/>
        </w:numPr>
        <w:tabs>
          <w:tab w:val="left" w:leader="none" w:pos="2826"/>
        </w:tabs>
        <w:spacing w:before="0" w:line="276" w:lineRule="auto"/>
        <w:ind w:left="1094" w:hanging="357"/>
        <w:jc w:val="both"/>
        <w:rPr/>
      </w:pPr>
      <w:bookmarkStart w:colFirst="0" w:colLast="0" w:name="_tyjcwt" w:id="5"/>
      <w:bookmarkEnd w:id="5"/>
      <w:r w:rsidDel="00000000" w:rsidR="00000000" w:rsidRPr="00000000">
        <w:rPr>
          <w:rFonts w:ascii="Cambria" w:cs="Cambria" w:eastAsia="Cambria" w:hAnsi="Cambria"/>
          <w:sz w:val="22"/>
          <w:szCs w:val="22"/>
          <w:rtl w:val="0"/>
        </w:rPr>
        <w:t xml:space="preserve">Инициирован законопроект «О творческих союзах Кыргызской Республики»</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сентября 2024 г. на сайте Жогорку Кенеша КР на общественное обсуждение был вынесен проект Закона КР «О творческих союзах Кыргызской Республики», инициатором которого выступает депутат Жогорку Кенеша КР Самыйкожо Мирлан. </w:t>
      </w:r>
    </w:p>
    <w:p w:rsidR="00000000" w:rsidDel="00000000" w:rsidP="00000000" w:rsidRDefault="00000000" w:rsidRPr="00000000" w14:paraId="00000060">
      <w:pPr>
        <w:spacing w:after="24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Основными целями предлагаемого законопроекта являются </w:t>
      </w:r>
      <w:r w:rsidDel="00000000" w:rsidR="00000000" w:rsidRPr="00000000">
        <w:rPr>
          <w:rFonts w:ascii="Cambria" w:cs="Cambria" w:eastAsia="Cambria" w:hAnsi="Cambria"/>
          <w:i w:val="1"/>
          <w:iCs w:val="1"/>
          <w:sz w:val="22"/>
          <w:szCs w:val="22"/>
          <w:rtl w:val="0"/>
        </w:rPr>
        <w:t xml:space="preserve">развитие творческой деятельности в сфере культуры, литературы и искусства, а также обеспечение государственной поддержки этих видов деятельности</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вводит определения понятий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«творческий союз», «творческий работник» и «творческая деятельность»</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Данный проект нормативно-правового акта также устанавливает порядок создания и правовой статус творческих союзов, их права, принципы работы, структуру органов управления, процедуры государственной регистрации и перерегистрации. Кроме того, он определяет полномочия государственных органов в области регулирования деятельности творческих союзов и включает другие нормативные положения.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4">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организаций гражданского общества и другие заинтересованные лица могут направить свои предложения и комментарии по данному законопроекту на электронную почту: </w:t>
      </w:r>
      <w:hyperlink r:id="rId15">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samyikozho@gmail.com</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а также по телефону: +996312639166.</w:t>
      </w:r>
    </w:p>
    <w:p w:rsidR="00000000" w:rsidDel="00000000" w:rsidP="00000000" w:rsidRDefault="00000000" w:rsidRPr="00000000" w14:paraId="00000063">
      <w:pPr>
        <w:spacing w:line="276"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pStyle w:val="Heading3"/>
        <w:numPr>
          <w:ilvl w:val="0"/>
          <w:numId w:val="1"/>
        </w:numPr>
        <w:tabs>
          <w:tab w:val="left" w:leader="none" w:pos="2826"/>
        </w:tabs>
        <w:spacing w:before="0" w:line="276" w:lineRule="auto"/>
        <w:ind w:left="1094" w:hanging="357"/>
        <w:jc w:val="both"/>
        <w:rPr/>
      </w:pPr>
      <w:bookmarkStart w:colFirst="0" w:colLast="0" w:name="_3dy6vkm" w:id="6"/>
      <w:bookmarkEnd w:id="6"/>
      <w:r w:rsidDel="00000000" w:rsidR="00000000" w:rsidRPr="00000000">
        <w:rPr>
          <w:rFonts w:ascii="Cambria" w:cs="Cambria" w:eastAsia="Cambria" w:hAnsi="Cambria"/>
          <w:sz w:val="22"/>
          <w:szCs w:val="22"/>
          <w:rtl w:val="0"/>
        </w:rPr>
        <w:t xml:space="preserve">Инициированы поправки в некоторые законодательные акты, регулирующие экстремистскую деятельность</w:t>
      </w:r>
    </w:p>
    <w:p w:rsidR="00000000" w:rsidDel="00000000" w:rsidP="00000000" w:rsidRDefault="00000000" w:rsidRPr="00000000" w14:paraId="00000066">
      <w:pPr>
        <w:spacing w:after="24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сентября 2024 г. в Едином портале для общественного обсуждения опубликован проект Закона КР «О внесении изменений в некоторые законодательные акты Кыргызской Республики (в Уголовный кодекс КР, Гражданский процессуальный кодекс КР, Закон КР «О противодействии экстремистской деятельности»). Инициатором данного законопроекта выступает Кабинет министров КР.</w:t>
      </w:r>
    </w:p>
    <w:p w:rsidR="00000000" w:rsidDel="00000000" w:rsidP="00000000" w:rsidRDefault="00000000" w:rsidRPr="00000000" w14:paraId="00000067">
      <w:pPr>
        <w:spacing w:after="24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был разработан в целях </w:t>
      </w:r>
      <w:r w:rsidDel="00000000" w:rsidR="00000000" w:rsidRPr="00000000">
        <w:rPr>
          <w:rFonts w:ascii="Cambria" w:cs="Cambria" w:eastAsia="Cambria" w:hAnsi="Cambria"/>
          <w:i w:val="1"/>
          <w:iCs w:val="1"/>
          <w:sz w:val="22"/>
          <w:szCs w:val="22"/>
          <w:rtl w:val="0"/>
        </w:rPr>
        <w:t xml:space="preserve">совершенствования уголовно-правовых норм, касающихся преступлений экстремистской направленности, усиления ответственности за распространение экстремистских материалов и призывы к насильственному захвату власти, а также введения уголовной ответственности за публичные призывы к осуществлению экстремистской деятельности.</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68">
      <w:pPr>
        <w:spacing w:after="24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Ниже указаны изменения, предлагаемые законопроектом, в вышеупомянутые нормативные правовые акты.</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69"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Законопроектом предлагается внести следующие изменения в Уголовный кодекс КР: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76" w:lineRule="auto"/>
        <w:ind w:left="148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Изложить статью 332 в следующей редакции:</w:t>
      </w:r>
    </w:p>
    <w:p w:rsidR="00000000" w:rsidDel="00000000" w:rsidP="00000000" w:rsidRDefault="00000000" w:rsidRPr="00000000" w14:paraId="0000006C">
      <w:pPr>
        <w:spacing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1. Изготовление, распространение, перевозка или пересылка экстремистских материалов либо их приобретение или хранение с целью распространения, использование символики или атрибутики экстремистских организаций, а также посредством </w:t>
      </w:r>
      <w:r w:rsidDel="00000000" w:rsidR="00000000" w:rsidRPr="00000000">
        <w:rPr>
          <w:rFonts w:ascii="Cambria" w:cs="Cambria" w:eastAsia="Cambria" w:hAnsi="Cambria"/>
          <w:b w:val="1"/>
          <w:bCs w:val="1"/>
          <w:i w:val="1"/>
          <w:iCs w:val="1"/>
          <w:sz w:val="22"/>
          <w:szCs w:val="22"/>
          <w:rtl w:val="0"/>
        </w:rPr>
        <w:t xml:space="preserve">средств массовой информации</w:t>
      </w:r>
      <w:r w:rsidDel="00000000" w:rsidR="00000000" w:rsidRPr="00000000">
        <w:rPr>
          <w:rFonts w:ascii="Cambria" w:cs="Cambria" w:eastAsia="Cambria" w:hAnsi="Cambria"/>
          <w:i w:val="1"/>
          <w:iCs w:val="1"/>
          <w:sz w:val="22"/>
          <w:szCs w:val="22"/>
          <w:rtl w:val="0"/>
        </w:rPr>
        <w:t xml:space="preserve"> или сети Интернет – </w:t>
      </w:r>
    </w:p>
    <w:p w:rsidR="00000000" w:rsidDel="00000000" w:rsidP="00000000" w:rsidRDefault="00000000" w:rsidRPr="00000000" w14:paraId="0000006D">
      <w:pPr>
        <w:spacing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наказываются лишением свободы на срок </w:t>
      </w:r>
      <w:r w:rsidDel="00000000" w:rsidR="00000000" w:rsidRPr="00000000">
        <w:rPr>
          <w:rFonts w:ascii="Cambria" w:cs="Cambria" w:eastAsia="Cambria" w:hAnsi="Cambria"/>
          <w:b w:val="1"/>
          <w:bCs w:val="1"/>
          <w:i w:val="1"/>
          <w:iCs w:val="1"/>
          <w:sz w:val="22"/>
          <w:szCs w:val="22"/>
          <w:rtl w:val="0"/>
        </w:rPr>
        <w:t xml:space="preserve">от пяти до семи лет</w:t>
      </w:r>
      <w:r w:rsidDel="00000000" w:rsidR="00000000" w:rsidRPr="00000000">
        <w:rPr>
          <w:rFonts w:ascii="Cambria" w:cs="Cambria" w:eastAsia="Cambria" w:hAnsi="Cambria"/>
          <w:i w:val="1"/>
          <w:iCs w:val="1"/>
          <w:sz w:val="22"/>
          <w:szCs w:val="22"/>
          <w:rtl w:val="0"/>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000000" w:rsidDel="00000000" w:rsidP="00000000" w:rsidRDefault="00000000" w:rsidRPr="00000000" w14:paraId="0000006E">
      <w:pPr>
        <w:spacing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2. Те же деяния, совершенные: группой лиц, группой лиц по предварительному сговору… –</w:t>
      </w:r>
    </w:p>
    <w:p w:rsidR="00000000" w:rsidDel="00000000" w:rsidP="00000000" w:rsidRDefault="00000000" w:rsidRPr="00000000" w14:paraId="0000006F">
      <w:pPr>
        <w:spacing w:after="240" w:before="240" w:line="276" w:lineRule="auto"/>
        <w:ind w:left="1129" w:firstLine="0"/>
        <w:jc w:val="both"/>
        <w:rPr>
          <w:rFonts w:ascii="Cambria" w:cs="Cambria" w:eastAsia="Cambria" w:hAnsi="Cambria"/>
          <w:sz w:val="22"/>
          <w:szCs w:val="22"/>
        </w:rPr>
      </w:pPr>
      <w:r w:rsidDel="00000000" w:rsidR="00000000" w:rsidRPr="00000000">
        <w:rPr>
          <w:rFonts w:ascii="Cambria" w:cs="Cambria" w:eastAsia="Cambria" w:hAnsi="Cambria"/>
          <w:i w:val="1"/>
          <w:iCs w:val="1"/>
          <w:sz w:val="22"/>
          <w:szCs w:val="22"/>
          <w:rtl w:val="0"/>
        </w:rPr>
        <w:t xml:space="preserve">наказываются лишением свободы на срок от </w:t>
      </w:r>
      <w:r w:rsidDel="00000000" w:rsidR="00000000" w:rsidRPr="00000000">
        <w:rPr>
          <w:rFonts w:ascii="Cambria" w:cs="Cambria" w:eastAsia="Cambria" w:hAnsi="Cambria"/>
          <w:b w:val="1"/>
          <w:bCs w:val="1"/>
          <w:i w:val="1"/>
          <w:iCs w:val="1"/>
          <w:sz w:val="22"/>
          <w:szCs w:val="22"/>
          <w:rtl w:val="0"/>
        </w:rPr>
        <w:t xml:space="preserve">семи до десяти лет</w:t>
      </w:r>
      <w:r w:rsidDel="00000000" w:rsidR="00000000" w:rsidRPr="00000000">
        <w:rPr>
          <w:rFonts w:ascii="Cambria" w:cs="Cambria" w:eastAsia="Cambria" w:hAnsi="Cambria"/>
          <w:i w:val="1"/>
          <w:iCs w:val="1"/>
          <w:sz w:val="22"/>
          <w:szCs w:val="22"/>
          <w:rtl w:val="0"/>
        </w:rPr>
        <w:t xml:space="preserve"> с лишением права занимать определенные должности или заниматься определенной деятельностью на срок до трех лет или без такового.</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48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Главу 41 дополнить статьями 332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332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следующего содержания:</w:t>
      </w:r>
    </w:p>
    <w:p w:rsidR="00000000" w:rsidDel="00000000" w:rsidP="00000000" w:rsidRDefault="00000000" w:rsidRPr="00000000" w14:paraId="00000071">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«Статья 332</w:t>
      </w:r>
      <w:r w:rsidDel="00000000" w:rsidR="00000000" w:rsidRPr="00000000">
        <w:rPr>
          <w:rFonts w:ascii="Cambria" w:cs="Cambria" w:eastAsia="Cambria" w:hAnsi="Cambria"/>
          <w:i w:val="1"/>
          <w:iCs w:val="1"/>
          <w:sz w:val="22"/>
          <w:szCs w:val="22"/>
          <w:vertAlign w:val="superscript"/>
          <w:rtl w:val="0"/>
        </w:rPr>
        <w:t xml:space="preserve">1</w:t>
      </w:r>
      <w:r w:rsidDel="00000000" w:rsidR="00000000" w:rsidRPr="00000000">
        <w:rPr>
          <w:rFonts w:ascii="Cambria" w:cs="Cambria" w:eastAsia="Cambria" w:hAnsi="Cambria"/>
          <w:i w:val="1"/>
          <w:iCs w:val="1"/>
          <w:sz w:val="22"/>
          <w:szCs w:val="22"/>
          <w:rtl w:val="0"/>
        </w:rPr>
        <w:t xml:space="preserve">. Хранение экстремистских материалов </w:t>
      </w:r>
    </w:p>
    <w:p w:rsidR="00000000" w:rsidDel="00000000" w:rsidP="00000000" w:rsidRDefault="00000000" w:rsidRPr="00000000" w14:paraId="00000072">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Хранение экстремистских материалов лицом, в отношении которого ранее было вынесено письменное предостережение уполномоченного государственного органа по противодействию экстремистской деятельности о недопустимости хранения экстремистских материалов, - наказываются лишением свободы на срок до трех лет.». </w:t>
      </w:r>
    </w:p>
    <w:p w:rsidR="00000000" w:rsidDel="00000000" w:rsidP="00000000" w:rsidRDefault="00000000" w:rsidRPr="00000000" w14:paraId="00000073">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«Статья 332</w:t>
      </w:r>
      <w:r w:rsidDel="00000000" w:rsidR="00000000" w:rsidRPr="00000000">
        <w:rPr>
          <w:rFonts w:ascii="Cambria" w:cs="Cambria" w:eastAsia="Cambria" w:hAnsi="Cambria"/>
          <w:i w:val="1"/>
          <w:iCs w:val="1"/>
          <w:sz w:val="22"/>
          <w:szCs w:val="22"/>
          <w:vertAlign w:val="superscript"/>
          <w:rtl w:val="0"/>
        </w:rPr>
        <w:t xml:space="preserve">2</w:t>
      </w:r>
      <w:r w:rsidDel="00000000" w:rsidR="00000000" w:rsidRPr="00000000">
        <w:rPr>
          <w:rFonts w:ascii="Cambria" w:cs="Cambria" w:eastAsia="Cambria" w:hAnsi="Cambria"/>
          <w:i w:val="1"/>
          <w:iCs w:val="1"/>
          <w:sz w:val="22"/>
          <w:szCs w:val="22"/>
          <w:rtl w:val="0"/>
        </w:rPr>
        <w:t xml:space="preserve">. Публичные призывы к осуществлению экстремистской деятельности </w:t>
      </w:r>
    </w:p>
    <w:p w:rsidR="00000000" w:rsidDel="00000000" w:rsidP="00000000" w:rsidRDefault="00000000" w:rsidRPr="00000000" w14:paraId="00000074">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Публичные призывы к осуществлению экстремистской деятельности, в том числе с использованием сети Интернет или средств массовой информации, - наказываются лишением свободы на срок от трех до пяти лет.».</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48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Статью 327 изложить в следующей редакции:</w:t>
      </w:r>
    </w:p>
    <w:p w:rsidR="00000000" w:rsidDel="00000000" w:rsidP="00000000" w:rsidRDefault="00000000" w:rsidRPr="00000000" w14:paraId="00000076">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1. Публичные призывы к насильственному захвату или насильственному удержанию власти, а равно к насильственному изменению конституционного строя – наказываются лишением свободы от </w:t>
      </w:r>
      <w:r w:rsidDel="00000000" w:rsidR="00000000" w:rsidRPr="00000000">
        <w:rPr>
          <w:rFonts w:ascii="Cambria" w:cs="Cambria" w:eastAsia="Cambria" w:hAnsi="Cambria"/>
          <w:b w:val="1"/>
          <w:bCs w:val="1"/>
          <w:i w:val="1"/>
          <w:iCs w:val="1"/>
          <w:sz w:val="22"/>
          <w:szCs w:val="22"/>
          <w:rtl w:val="0"/>
        </w:rPr>
        <w:t xml:space="preserve">трех до пяти лет</w:t>
      </w:r>
      <w:r w:rsidDel="00000000" w:rsidR="00000000" w:rsidRPr="00000000">
        <w:rPr>
          <w:rFonts w:ascii="Cambria" w:cs="Cambria" w:eastAsia="Cambria" w:hAnsi="Cambria"/>
          <w:i w:val="1"/>
          <w:iCs w:val="1"/>
          <w:sz w:val="22"/>
          <w:szCs w:val="22"/>
          <w:rtl w:val="0"/>
        </w:rPr>
        <w:t xml:space="preserve">.</w:t>
      </w:r>
    </w:p>
    <w:p w:rsidR="00000000" w:rsidDel="00000000" w:rsidP="00000000" w:rsidRDefault="00000000" w:rsidRPr="00000000" w14:paraId="00000077">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2. Те же деяния, совершенные: </w:t>
      </w:r>
      <w:r w:rsidDel="00000000" w:rsidR="00000000" w:rsidRPr="00000000">
        <w:rPr>
          <w:rFonts w:ascii="Cambria" w:cs="Cambria" w:eastAsia="Cambria" w:hAnsi="Cambria"/>
          <w:b w:val="1"/>
          <w:bCs w:val="1"/>
          <w:i w:val="1"/>
          <w:iCs w:val="1"/>
          <w:sz w:val="22"/>
          <w:szCs w:val="22"/>
          <w:rtl w:val="0"/>
        </w:rPr>
        <w:t xml:space="preserve">с использованием сети Интернет или средств массовой информации</w:t>
      </w:r>
      <w:r w:rsidDel="00000000" w:rsidR="00000000" w:rsidRPr="00000000">
        <w:rPr>
          <w:rFonts w:ascii="Cambria" w:cs="Cambria" w:eastAsia="Cambria" w:hAnsi="Cambria"/>
          <w:i w:val="1"/>
          <w:iCs w:val="1"/>
          <w:sz w:val="22"/>
          <w:szCs w:val="22"/>
          <w:rtl w:val="0"/>
        </w:rPr>
        <w:t xml:space="preserve">; группой лиц; группой лиц по предварительному сговору, – наказываются штрафом лишением свободы на срок от </w:t>
      </w:r>
      <w:r w:rsidDel="00000000" w:rsidR="00000000" w:rsidRPr="00000000">
        <w:rPr>
          <w:rFonts w:ascii="Cambria" w:cs="Cambria" w:eastAsia="Cambria" w:hAnsi="Cambria"/>
          <w:b w:val="1"/>
          <w:bCs w:val="1"/>
          <w:i w:val="1"/>
          <w:iCs w:val="1"/>
          <w:sz w:val="22"/>
          <w:szCs w:val="22"/>
          <w:rtl w:val="0"/>
        </w:rPr>
        <w:t xml:space="preserve">пяти до семи</w:t>
      </w:r>
      <w:r w:rsidDel="00000000" w:rsidR="00000000" w:rsidRPr="00000000">
        <w:rPr>
          <w:rFonts w:ascii="Cambria" w:cs="Cambria" w:eastAsia="Cambria" w:hAnsi="Cambria"/>
          <w:i w:val="1"/>
          <w:iCs w:val="1"/>
          <w:sz w:val="22"/>
          <w:szCs w:val="22"/>
          <w:rtl w:val="0"/>
        </w:rPr>
        <w:t xml:space="preserve"> лет.</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69"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Внести в Гражданский процессуальный кодекс КР следующие изменения:</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наименование Главы 25</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в часть 1 статьи 261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после слов «о признании экстремистскими или террористическими» дополнить словами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«юридического лица, иной организации или».</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76" w:lineRule="auto"/>
        <w:ind w:left="11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Часть 1 статьи 261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3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изложить в следующей редакции:</w:t>
      </w:r>
    </w:p>
    <w:p w:rsidR="00000000" w:rsidDel="00000000" w:rsidP="00000000" w:rsidRDefault="00000000" w:rsidRPr="00000000" w14:paraId="0000007B">
      <w:pPr>
        <w:spacing w:after="240" w:before="240" w:line="276" w:lineRule="auto"/>
        <w:ind w:left="1129" w:firstLine="0"/>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«Решение суда, вступившее в законную силу, направляется в Генеральную прокуратуру для включения в реестр информационных материалов и организаций, признанных судом экстремистскими и террористическими».</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69"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Закон КР «О противодействии экстремистской деятельности» пунктами, включающими в перечень экстремистских действий планирование, организацию, подготовку и совершение деяний, связанных с публичными призывами к экстремистской деятельности, а также хранение экстремистских материалов.</w:t>
      </w:r>
    </w:p>
    <w:p w:rsidR="00000000" w:rsidDel="00000000" w:rsidP="00000000" w:rsidRDefault="00000000" w:rsidRPr="00000000" w14:paraId="0000007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сопроводительными документами к нему можно </w:t>
      </w:r>
      <w:hyperlink r:id="rId16">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Представители организаций гражданского общества и другие заинтересованные лица могут написать свои комментарии по данному законопроекту в Едином портале до 2 октября 2024 г.</w:t>
      </w:r>
    </w:p>
    <w:p w:rsidR="00000000" w:rsidDel="00000000" w:rsidP="00000000" w:rsidRDefault="00000000" w:rsidRPr="00000000" w14:paraId="0000007E">
      <w:pPr>
        <w:pStyle w:val="Heading3"/>
        <w:numPr>
          <w:ilvl w:val="0"/>
          <w:numId w:val="1"/>
        </w:numPr>
        <w:tabs>
          <w:tab w:val="left" w:leader="none" w:pos="2826"/>
        </w:tabs>
        <w:spacing w:after="120" w:before="0" w:line="276" w:lineRule="auto"/>
        <w:ind w:left="1094" w:hanging="357"/>
        <w:jc w:val="both"/>
        <w:rPr/>
      </w:pPr>
      <w:bookmarkStart w:colFirst="0" w:colLast="0" w:name="_1t3h5sf" w:id="7"/>
      <w:bookmarkEnd w:id="7"/>
      <w:r w:rsidDel="00000000" w:rsidR="00000000" w:rsidRPr="00000000">
        <w:rPr>
          <w:rFonts w:ascii="Cambria" w:cs="Cambria" w:eastAsia="Cambria" w:hAnsi="Cambria"/>
          <w:sz w:val="22"/>
          <w:szCs w:val="22"/>
          <w:rtl w:val="0"/>
        </w:rPr>
        <w:t xml:space="preserve">Инициированы поправки в Кодексы КР о детях, правонарушениях, Закон КР «О меценатстве и благотворительной деятельности»</w:t>
      </w:r>
    </w:p>
    <w:p w:rsidR="00000000" w:rsidDel="00000000" w:rsidP="00000000" w:rsidRDefault="00000000" w:rsidRPr="00000000" w14:paraId="0000007F">
      <w:pPr>
        <w:spacing w:after="120" w:before="240" w:line="276" w:lineRule="auto"/>
        <w:ind w:firstLine="720"/>
        <w:jc w:val="both"/>
        <w:rPr>
          <w:rFonts w:ascii="Cambria" w:cs="Cambria" w:eastAsia="Cambria" w:hAnsi="Cambria"/>
          <w:sz w:val="22"/>
          <w:szCs w:val="22"/>
        </w:rPr>
      </w:pPr>
      <w:bookmarkStart w:colFirst="0" w:colLast="0" w:name="_4d34og8" w:id="8"/>
      <w:bookmarkEnd w:id="8"/>
      <w:r w:rsidDel="00000000" w:rsidR="00000000" w:rsidRPr="00000000">
        <w:rPr>
          <w:rFonts w:ascii="Cambria" w:cs="Cambria" w:eastAsia="Cambria" w:hAnsi="Cambria"/>
          <w:sz w:val="22"/>
          <w:szCs w:val="22"/>
          <w:rtl w:val="0"/>
        </w:rPr>
        <w:t xml:space="preserve">6 сентября 2024 г. в Едином портале для общественного обсуждения опубликован проект Закона КР «О внесении изменений в некоторые законодательные акты КР (в Кодекс Кыргызской Республики о детях, Кодекс КР о правонарушениях, Закон Кыргызской Республики «О меценатстве и благотворительной деятельности»). Инициатором данного законопроекта выступает Кабинет Министров.</w:t>
      </w:r>
    </w:p>
    <w:p w:rsidR="00000000" w:rsidDel="00000000" w:rsidP="00000000" w:rsidRDefault="00000000" w:rsidRPr="00000000" w14:paraId="00000080">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данный законопроект был разработан </w:t>
      </w:r>
      <w:r w:rsidDel="00000000" w:rsidR="00000000" w:rsidRPr="00000000">
        <w:rPr>
          <w:rFonts w:ascii="Cambria" w:cs="Cambria" w:eastAsia="Cambria" w:hAnsi="Cambria"/>
          <w:i w:val="1"/>
          <w:iCs w:val="1"/>
          <w:sz w:val="22"/>
          <w:szCs w:val="22"/>
          <w:rtl w:val="0"/>
        </w:rPr>
        <w:t xml:space="preserve">во исполнение пункта 2 Указа Президента КР «О принятии мер, направленных на улучшение миграционной ситуации» от 29 января 2021 года УП № 4, пункта 35 Плана мероприятий Кабинета Министров КР по реализации Национальной программы развития КР до 2026 года, утвержденного постановлением Кабинета Министров КР от 25 декабря 2021 года № 352</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81">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 внести следующие изменения:</w:t>
      </w:r>
    </w:p>
    <w:p w:rsidR="00000000" w:rsidDel="00000000" w:rsidP="00000000" w:rsidRDefault="00000000" w:rsidRPr="00000000" w14:paraId="00000082">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В Закон КР «О меценатстве и благотворительной деятельности» внести следующие изменения:</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6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Добавить в перечень целей меценатства и благотворительной деятельности содействие предотвращению социальных, национальных, религиозных конфликтов в условиях эпидемии.</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6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Добавить в перечень формирования имущества благотворительной организации наличные денежные средства, собранные с помощью ящиков для сбора благотворительных пожертвований. </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6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Сделать обязательным публикацию информации об имуществе и суммах, собранных с помощью ящиков для благотворительных пожертвований, на Интернет-ресурсах.</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6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Сделать обязательным ежегодное опубликование отчета о размерах привлеченных пожертвований и об их использовании на веб-страницах благотворительной организации и других Интернет-ресурсах (</w:t>
      </w:r>
      <w:hyperlink r:id="rId1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в действующей версии Закона</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указана только публикация в официальных печатных изданиях).</w:t>
      </w:r>
    </w:p>
    <w:p w:rsidR="00000000" w:rsidDel="00000000" w:rsidP="00000000" w:rsidRDefault="00000000" w:rsidRPr="00000000" w14:paraId="00000087">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 В Кодекс КР о детях ввести определение понятию </w:t>
      </w:r>
      <w:r w:rsidDel="00000000" w:rsidR="00000000" w:rsidRPr="00000000">
        <w:rPr>
          <w:rFonts w:ascii="Cambria" w:cs="Cambria" w:eastAsia="Cambria" w:hAnsi="Cambria"/>
          <w:i w:val="1"/>
          <w:iCs w:val="1"/>
          <w:sz w:val="22"/>
          <w:szCs w:val="22"/>
          <w:rtl w:val="0"/>
        </w:rPr>
        <w:t xml:space="preserve">«дети трудовых мигрантов»</w:t>
      </w:r>
      <w:r w:rsidDel="00000000" w:rsidR="00000000" w:rsidRPr="00000000">
        <w:rPr>
          <w:rFonts w:ascii="Cambria" w:cs="Cambria" w:eastAsia="Cambria" w:hAnsi="Cambria"/>
          <w:sz w:val="22"/>
          <w:szCs w:val="22"/>
          <w:rtl w:val="0"/>
        </w:rPr>
        <w:t xml:space="preserve"> как детей, чьи родители или лица, их заменяющие, находятся в трудовой миграции.</w:t>
      </w:r>
    </w:p>
    <w:p w:rsidR="00000000" w:rsidDel="00000000" w:rsidP="00000000" w:rsidRDefault="00000000" w:rsidRPr="00000000" w14:paraId="00000088">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В Кодекс КР о правонарушениях установить наложение штрафа для физических лиц в размере 150 расчетных показателей (или 15 000 сомов) за невыполнение родителями или лицами, их заменяющими, обязанностей по воспитанию детей, повлекшее оставление детей более чем на 15 дней без определения опекунов и попечителей и без уведомления об этом органов опеки и попечительства.</w:t>
      </w:r>
    </w:p>
    <w:p w:rsidR="00000000" w:rsidDel="00000000" w:rsidP="00000000" w:rsidRDefault="00000000" w:rsidRPr="00000000" w14:paraId="00000089">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сопроводительными документами к нему можно </w:t>
      </w:r>
      <w:hyperlink r:id="rId18">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Представители организаций гражданского общества и другие заинтересованные лица могут написать свои комментарии по данному законопроекту в Едином портале до 5 октября 2024 г.</w:t>
      </w:r>
    </w:p>
    <w:p w:rsidR="00000000" w:rsidDel="00000000" w:rsidP="00000000" w:rsidRDefault="00000000" w:rsidRPr="00000000" w14:paraId="0000008A">
      <w:pPr>
        <w:pStyle w:val="Heading3"/>
        <w:numPr>
          <w:ilvl w:val="0"/>
          <w:numId w:val="1"/>
        </w:numPr>
        <w:spacing w:before="240" w:line="276" w:lineRule="auto"/>
        <w:ind w:left="720" w:hanging="360"/>
        <w:jc w:val="both"/>
        <w:rPr/>
      </w:pPr>
      <w:bookmarkStart w:colFirst="0" w:colLast="0" w:name="_2s8eyo1" w:id="9"/>
      <w:bookmarkEnd w:id="9"/>
      <w:r w:rsidDel="00000000" w:rsidR="00000000" w:rsidRPr="00000000">
        <w:rPr>
          <w:rFonts w:ascii="Cambria" w:cs="Cambria" w:eastAsia="Cambria" w:hAnsi="Cambria"/>
          <w:sz w:val="22"/>
          <w:szCs w:val="22"/>
          <w:rtl w:val="0"/>
        </w:rPr>
        <w:t xml:space="preserve">Профильный комитет одобрил законопроект «О внесении изменений в некоторые законодательные акты Кыргызской Республики в сфере доступа к информации» в первом чтении</w:t>
      </w:r>
    </w:p>
    <w:p w:rsidR="00000000" w:rsidDel="00000000" w:rsidP="00000000" w:rsidRDefault="00000000" w:rsidRPr="00000000" w14:paraId="0000008B">
      <w:pPr>
        <w:spacing w:after="24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ранее упоминалось в </w:t>
      </w:r>
      <w:hyperlink r:id="rId19">
        <w:r w:rsidDel="00000000" w:rsidR="00000000" w:rsidRPr="00000000">
          <w:rPr>
            <w:rFonts w:ascii="Cambria" w:cs="Cambria" w:eastAsia="Cambria" w:hAnsi="Cambria"/>
            <w:color w:val="0563c1"/>
            <w:sz w:val="22"/>
            <w:szCs w:val="22"/>
            <w:u w:val="single"/>
            <w:rtl w:val="0"/>
          </w:rPr>
          <w:t xml:space="preserve">Информационном бюллетене №60</w:t>
        </w:r>
      </w:hyperlink>
      <w:r w:rsidDel="00000000" w:rsidR="00000000" w:rsidRPr="00000000">
        <w:rPr>
          <w:rFonts w:ascii="Cambria" w:cs="Cambria" w:eastAsia="Cambria" w:hAnsi="Cambria"/>
          <w:sz w:val="22"/>
          <w:szCs w:val="22"/>
          <w:rtl w:val="0"/>
        </w:rPr>
        <w:t xml:space="preserve">, 25 июля 2024 г. на сайте Жогорку Кенеша был опубликован проект Закона КР «О внесении изменений в некоторые законодательные акты Кыргызской Республики в сфере доступа к информации» (далее - законопроект), инициатором которого является Кабинет Министров. </w:t>
      </w:r>
    </w:p>
    <w:p w:rsidR="00000000" w:rsidDel="00000000" w:rsidP="00000000" w:rsidRDefault="00000000" w:rsidRPr="00000000" w14:paraId="0000008C">
      <w:pPr>
        <w:spacing w:after="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сентября 2024 г. Комитет Жогорку Кенеша КР по транспорту, коммуникациям, архитектуре и строительству рассмотрел и одобрил данный законопроект </w:t>
      </w:r>
      <w:hyperlink r:id="rId20">
        <w:r w:rsidDel="00000000" w:rsidR="00000000" w:rsidRPr="00000000">
          <w:rPr>
            <w:rFonts w:ascii="Cambria" w:cs="Cambria" w:eastAsia="Cambria" w:hAnsi="Cambria"/>
            <w:color w:val="0563c1"/>
            <w:sz w:val="22"/>
            <w:szCs w:val="22"/>
            <w:u w:val="single"/>
            <w:rtl w:val="0"/>
          </w:rPr>
          <w:t xml:space="preserve">в первом чтении</w:t>
        </w:r>
      </w:hyperlink>
      <w:r w:rsidDel="00000000" w:rsidR="00000000" w:rsidRPr="00000000">
        <w:rPr>
          <w:rFonts w:ascii="Cambria" w:cs="Cambria" w:eastAsia="Cambria" w:hAnsi="Cambria"/>
          <w:sz w:val="22"/>
          <w:szCs w:val="22"/>
          <w:rtl w:val="0"/>
        </w:rPr>
        <w:t xml:space="preserve">. Заместитель министра юстиции КР, Бактияр Орозов, отметил, что законопроект был подготовлен с целью реализации пункта 1 части 3 статьи 49 Закона КР «О праве на доступ к информации». </w:t>
      </w:r>
    </w:p>
    <w:p w:rsidR="00000000" w:rsidDel="00000000" w:rsidP="00000000" w:rsidRDefault="00000000" w:rsidRPr="00000000" w14:paraId="0000008D">
      <w:pPr>
        <w:spacing w:after="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сопроводительными документами к нему можно </w:t>
      </w:r>
      <w:hyperlink r:id="rId2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563c1"/>
          <w:sz w:val="22"/>
          <w:szCs w:val="22"/>
          <w:u w:val="single"/>
          <w:rtl w:val="0"/>
        </w:rPr>
        <w:t xml:space="preserve">.</w:t>
      </w:r>
      <w:r w:rsidDel="00000000" w:rsidR="00000000" w:rsidRPr="00000000">
        <w:rPr>
          <w:rtl w:val="0"/>
        </w:rPr>
      </w:r>
    </w:p>
    <w:sectPr>
      <w:footerReference r:id="rId22" w:type="default"/>
      <w:footerReference r:id="rId23" w:type="first"/>
      <w:pgSz w:h="15840" w:w="12240" w:orient="portrait"/>
      <w:pgMar w:bottom="709"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3" w:hanging="360"/>
      </w:pPr>
      <w:rPr>
        <w:rFonts w:ascii="Times New Roman" w:cs="Times New Roman" w:eastAsia="Times New Roman" w:hAnsi="Times New Roman"/>
      </w:rPr>
    </w:lvl>
    <w:lvl w:ilvl="1">
      <w:start w:val="1"/>
      <w:numFmt w:val="bullet"/>
      <w:lvlText w:val="o"/>
      <w:lvlJc w:val="left"/>
      <w:pPr>
        <w:ind w:left="2143" w:hanging="360"/>
      </w:pPr>
      <w:rPr>
        <w:rFonts w:ascii="Courier New" w:cs="Courier New" w:eastAsia="Courier New" w:hAnsi="Courier New"/>
      </w:rPr>
    </w:lvl>
    <w:lvl w:ilvl="2">
      <w:start w:val="1"/>
      <w:numFmt w:val="bullet"/>
      <w:lvlText w:val="▪"/>
      <w:lvlJc w:val="left"/>
      <w:pPr>
        <w:ind w:left="2863" w:hanging="360"/>
      </w:pPr>
      <w:rPr>
        <w:rFonts w:ascii="Noto Sans Symbols" w:cs="Noto Sans Symbols" w:eastAsia="Noto Sans Symbols" w:hAnsi="Noto Sans Symbols"/>
      </w:rPr>
    </w:lvl>
    <w:lvl w:ilvl="3">
      <w:start w:val="1"/>
      <w:numFmt w:val="bullet"/>
      <w:lvlText w:val="●"/>
      <w:lvlJc w:val="left"/>
      <w:pPr>
        <w:ind w:left="3583" w:hanging="360"/>
      </w:pPr>
      <w:rPr>
        <w:rFonts w:ascii="Noto Sans Symbols" w:cs="Noto Sans Symbols" w:eastAsia="Noto Sans Symbols" w:hAnsi="Noto Sans Symbols"/>
      </w:rPr>
    </w:lvl>
    <w:lvl w:ilvl="4">
      <w:start w:val="1"/>
      <w:numFmt w:val="bullet"/>
      <w:lvlText w:val="o"/>
      <w:lvlJc w:val="left"/>
      <w:pPr>
        <w:ind w:left="4303" w:hanging="360"/>
      </w:pPr>
      <w:rPr>
        <w:rFonts w:ascii="Courier New" w:cs="Courier New" w:eastAsia="Courier New" w:hAnsi="Courier New"/>
      </w:rPr>
    </w:lvl>
    <w:lvl w:ilvl="5">
      <w:start w:val="1"/>
      <w:numFmt w:val="bullet"/>
      <w:lvlText w:val="▪"/>
      <w:lvlJc w:val="left"/>
      <w:pPr>
        <w:ind w:left="5023" w:hanging="360"/>
      </w:pPr>
      <w:rPr>
        <w:rFonts w:ascii="Noto Sans Symbols" w:cs="Noto Sans Symbols" w:eastAsia="Noto Sans Symbols" w:hAnsi="Noto Sans Symbols"/>
      </w:rPr>
    </w:lvl>
    <w:lvl w:ilvl="6">
      <w:start w:val="1"/>
      <w:numFmt w:val="bullet"/>
      <w:lvlText w:val="●"/>
      <w:lvlJc w:val="left"/>
      <w:pPr>
        <w:ind w:left="5743" w:hanging="360"/>
      </w:pPr>
      <w:rPr>
        <w:rFonts w:ascii="Noto Sans Symbols" w:cs="Noto Sans Symbols" w:eastAsia="Noto Sans Symbols" w:hAnsi="Noto Sans Symbols"/>
      </w:rPr>
    </w:lvl>
    <w:lvl w:ilvl="7">
      <w:start w:val="1"/>
      <w:numFmt w:val="bullet"/>
      <w:lvlText w:val="o"/>
      <w:lvlJc w:val="left"/>
      <w:pPr>
        <w:ind w:left="6463" w:hanging="360"/>
      </w:pPr>
      <w:rPr>
        <w:rFonts w:ascii="Courier New" w:cs="Courier New" w:eastAsia="Courier New" w:hAnsi="Courier New"/>
      </w:rPr>
    </w:lvl>
    <w:lvl w:ilvl="8">
      <w:start w:val="1"/>
      <w:numFmt w:val="bullet"/>
      <w:lvlText w:val="▪"/>
      <w:lvlJc w:val="left"/>
      <w:pPr>
        <w:ind w:left="7183" w:hanging="360"/>
      </w:pPr>
      <w:rPr>
        <w:rFonts w:ascii="Noto Sans Symbols" w:cs="Noto Sans Symbols" w:eastAsia="Noto Sans Symbols" w:hAnsi="Noto Sans Symbols"/>
      </w:rPr>
    </w:lvl>
  </w:abstractNum>
  <w:abstractNum w:abstractNumId="4">
    <w:lvl w:ilvl="0">
      <w:start w:val="1"/>
      <w:numFmt w:val="decimal"/>
      <w:lvlText w:val="%1."/>
      <w:lvlJc w:val="left"/>
      <w:pPr>
        <w:ind w:left="769" w:hanging="359.99999999999994"/>
      </w:pPr>
      <w:rPr/>
    </w:lvl>
    <w:lvl w:ilvl="1">
      <w:start w:val="1"/>
      <w:numFmt w:val="bullet"/>
      <w:lvlText w:val="o"/>
      <w:lvlJc w:val="left"/>
      <w:pPr>
        <w:ind w:left="1489" w:hanging="360"/>
      </w:pPr>
      <w:rPr>
        <w:rFonts w:ascii="Courier New" w:cs="Courier New" w:eastAsia="Courier New" w:hAnsi="Courier New"/>
      </w:rPr>
    </w:lvl>
    <w:lvl w:ilvl="2">
      <w:start w:val="1"/>
      <w:numFmt w:val="bullet"/>
      <w:lvlText w:val="▪"/>
      <w:lvlJc w:val="left"/>
      <w:pPr>
        <w:ind w:left="2209" w:hanging="360"/>
      </w:pPr>
      <w:rPr>
        <w:rFonts w:ascii="Noto Sans Symbols" w:cs="Noto Sans Symbols" w:eastAsia="Noto Sans Symbols" w:hAnsi="Noto Sans Symbols"/>
      </w:rPr>
    </w:lvl>
    <w:lvl w:ilvl="3">
      <w:start w:val="1"/>
      <w:numFmt w:val="bullet"/>
      <w:lvlText w:val="●"/>
      <w:lvlJc w:val="left"/>
      <w:pPr>
        <w:ind w:left="2929" w:hanging="360"/>
      </w:pPr>
      <w:rPr>
        <w:rFonts w:ascii="Noto Sans Symbols" w:cs="Noto Sans Symbols" w:eastAsia="Noto Sans Symbols" w:hAnsi="Noto Sans Symbols"/>
      </w:rPr>
    </w:lvl>
    <w:lvl w:ilvl="4">
      <w:start w:val="1"/>
      <w:numFmt w:val="bullet"/>
      <w:lvlText w:val="o"/>
      <w:lvlJc w:val="left"/>
      <w:pPr>
        <w:ind w:left="3649" w:hanging="360"/>
      </w:pPr>
      <w:rPr>
        <w:rFonts w:ascii="Courier New" w:cs="Courier New" w:eastAsia="Courier New" w:hAnsi="Courier New"/>
      </w:rPr>
    </w:lvl>
    <w:lvl w:ilvl="5">
      <w:start w:val="1"/>
      <w:numFmt w:val="bullet"/>
      <w:lvlText w:val="▪"/>
      <w:lvlJc w:val="left"/>
      <w:pPr>
        <w:ind w:left="4369" w:hanging="360"/>
      </w:pPr>
      <w:rPr>
        <w:rFonts w:ascii="Noto Sans Symbols" w:cs="Noto Sans Symbols" w:eastAsia="Noto Sans Symbols" w:hAnsi="Noto Sans Symbols"/>
      </w:rPr>
    </w:lvl>
    <w:lvl w:ilvl="6">
      <w:start w:val="1"/>
      <w:numFmt w:val="bullet"/>
      <w:lvlText w:val="●"/>
      <w:lvlJc w:val="left"/>
      <w:pPr>
        <w:ind w:left="5089" w:hanging="360"/>
      </w:pPr>
      <w:rPr>
        <w:rFonts w:ascii="Noto Sans Symbols" w:cs="Noto Sans Symbols" w:eastAsia="Noto Sans Symbols" w:hAnsi="Noto Sans Symbols"/>
      </w:rPr>
    </w:lvl>
    <w:lvl w:ilvl="7">
      <w:start w:val="1"/>
      <w:numFmt w:val="bullet"/>
      <w:lvlText w:val="o"/>
      <w:lvlJc w:val="left"/>
      <w:pPr>
        <w:ind w:left="5809" w:hanging="360"/>
      </w:pPr>
      <w:rPr>
        <w:rFonts w:ascii="Courier New" w:cs="Courier New" w:eastAsia="Courier New" w:hAnsi="Courier New"/>
      </w:rPr>
    </w:lvl>
    <w:lvl w:ilvl="8">
      <w:start w:val="1"/>
      <w:numFmt w:val="bullet"/>
      <w:lvlText w:val="▪"/>
      <w:lvlJc w:val="left"/>
      <w:pPr>
        <w:ind w:left="652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129" w:hanging="360"/>
      </w:pPr>
      <w:rPr>
        <w:rFonts w:ascii="Noto Sans Symbols" w:cs="Noto Sans Symbols" w:eastAsia="Noto Sans Symbols" w:hAnsi="Noto Sans Symbols"/>
      </w:rPr>
    </w:lvl>
    <w:lvl w:ilvl="1">
      <w:start w:val="1"/>
      <w:numFmt w:val="bullet"/>
      <w:lvlText w:val="o"/>
      <w:lvlJc w:val="left"/>
      <w:pPr>
        <w:ind w:left="1849" w:hanging="360"/>
      </w:pPr>
      <w:rPr>
        <w:rFonts w:ascii="Courier New" w:cs="Courier New" w:eastAsia="Courier New" w:hAnsi="Courier New"/>
      </w:rPr>
    </w:lvl>
    <w:lvl w:ilvl="2">
      <w:start w:val="1"/>
      <w:numFmt w:val="bullet"/>
      <w:lvlText w:val="▪"/>
      <w:lvlJc w:val="left"/>
      <w:pPr>
        <w:ind w:left="2569" w:hanging="360"/>
      </w:pPr>
      <w:rPr>
        <w:rFonts w:ascii="Noto Sans Symbols" w:cs="Noto Sans Symbols" w:eastAsia="Noto Sans Symbols" w:hAnsi="Noto Sans Symbols"/>
      </w:rPr>
    </w:lvl>
    <w:lvl w:ilvl="3">
      <w:start w:val="1"/>
      <w:numFmt w:val="bullet"/>
      <w:lvlText w:val="●"/>
      <w:lvlJc w:val="left"/>
      <w:pPr>
        <w:ind w:left="3289" w:hanging="360"/>
      </w:pPr>
      <w:rPr>
        <w:rFonts w:ascii="Noto Sans Symbols" w:cs="Noto Sans Symbols" w:eastAsia="Noto Sans Symbols" w:hAnsi="Noto Sans Symbols"/>
      </w:rPr>
    </w:lvl>
    <w:lvl w:ilvl="4">
      <w:start w:val="1"/>
      <w:numFmt w:val="bullet"/>
      <w:lvlText w:val="o"/>
      <w:lvlJc w:val="left"/>
      <w:pPr>
        <w:ind w:left="4009" w:hanging="360"/>
      </w:pPr>
      <w:rPr>
        <w:rFonts w:ascii="Courier New" w:cs="Courier New" w:eastAsia="Courier New" w:hAnsi="Courier New"/>
      </w:rPr>
    </w:lvl>
    <w:lvl w:ilvl="5">
      <w:start w:val="1"/>
      <w:numFmt w:val="bullet"/>
      <w:lvlText w:val="▪"/>
      <w:lvlJc w:val="left"/>
      <w:pPr>
        <w:ind w:left="4729" w:hanging="360"/>
      </w:pPr>
      <w:rPr>
        <w:rFonts w:ascii="Noto Sans Symbols" w:cs="Noto Sans Symbols" w:eastAsia="Noto Sans Symbols" w:hAnsi="Noto Sans Symbols"/>
      </w:rPr>
    </w:lvl>
    <w:lvl w:ilvl="6">
      <w:start w:val="1"/>
      <w:numFmt w:val="bullet"/>
      <w:lvlText w:val="●"/>
      <w:lvlJc w:val="left"/>
      <w:pPr>
        <w:ind w:left="5449" w:hanging="360"/>
      </w:pPr>
      <w:rPr>
        <w:rFonts w:ascii="Noto Sans Symbols" w:cs="Noto Sans Symbols" w:eastAsia="Noto Sans Symbols" w:hAnsi="Noto Sans Symbols"/>
      </w:rPr>
    </w:lvl>
    <w:lvl w:ilvl="7">
      <w:start w:val="1"/>
      <w:numFmt w:val="bullet"/>
      <w:lvlText w:val="o"/>
      <w:lvlJc w:val="left"/>
      <w:pPr>
        <w:ind w:left="6169" w:hanging="360"/>
      </w:pPr>
      <w:rPr>
        <w:rFonts w:ascii="Courier New" w:cs="Courier New" w:eastAsia="Courier New" w:hAnsi="Courier New"/>
      </w:rPr>
    </w:lvl>
    <w:lvl w:ilvl="8">
      <w:start w:val="1"/>
      <w:numFmt w:val="bullet"/>
      <w:lvlText w:val="▪"/>
      <w:lvlJc w:val="left"/>
      <w:pPr>
        <w:ind w:left="6889" w:hanging="360"/>
      </w:pPr>
      <w:rPr>
        <w:rFonts w:ascii="Noto Sans Symbols" w:cs="Noto Sans Symbols" w:eastAsia="Noto Sans Symbols" w:hAnsi="Noto Sans Symbols"/>
      </w:rPr>
    </w:lvl>
  </w:abstractNum>
  <w:abstractNum w:abstractNumId="7">
    <w:lvl w:ilvl="0">
      <w:start w:val="1"/>
      <w:numFmt w:val="bullet"/>
      <w:lvlText w:val="●"/>
      <w:lvlJc w:val="left"/>
      <w:pPr>
        <w:ind w:left="1489" w:hanging="360"/>
      </w:pPr>
      <w:rPr>
        <w:rFonts w:ascii="Noto Sans Symbols" w:cs="Noto Sans Symbols" w:eastAsia="Noto Sans Symbols" w:hAnsi="Noto Sans Symbols"/>
      </w:rPr>
    </w:lvl>
    <w:lvl w:ilvl="1">
      <w:start w:val="1"/>
      <w:numFmt w:val="bullet"/>
      <w:lvlText w:val="o"/>
      <w:lvlJc w:val="left"/>
      <w:pPr>
        <w:ind w:left="2209" w:hanging="360"/>
      </w:pPr>
      <w:rPr>
        <w:rFonts w:ascii="Courier New" w:cs="Courier New" w:eastAsia="Courier New" w:hAnsi="Courier New"/>
      </w:rPr>
    </w:lvl>
    <w:lvl w:ilvl="2">
      <w:start w:val="1"/>
      <w:numFmt w:val="bullet"/>
      <w:lvlText w:val="▪"/>
      <w:lvlJc w:val="left"/>
      <w:pPr>
        <w:ind w:left="2929" w:hanging="360"/>
      </w:pPr>
      <w:rPr>
        <w:rFonts w:ascii="Noto Sans Symbols" w:cs="Noto Sans Symbols" w:eastAsia="Noto Sans Symbols" w:hAnsi="Noto Sans Symbols"/>
      </w:rPr>
    </w:lvl>
    <w:lvl w:ilvl="3">
      <w:start w:val="1"/>
      <w:numFmt w:val="bullet"/>
      <w:lvlText w:val="●"/>
      <w:lvlJc w:val="left"/>
      <w:pPr>
        <w:ind w:left="3649" w:hanging="360"/>
      </w:pPr>
      <w:rPr>
        <w:rFonts w:ascii="Noto Sans Symbols" w:cs="Noto Sans Symbols" w:eastAsia="Noto Sans Symbols" w:hAnsi="Noto Sans Symbols"/>
      </w:rPr>
    </w:lvl>
    <w:lvl w:ilvl="4">
      <w:start w:val="1"/>
      <w:numFmt w:val="bullet"/>
      <w:lvlText w:val="o"/>
      <w:lvlJc w:val="left"/>
      <w:pPr>
        <w:ind w:left="4369" w:hanging="360"/>
      </w:pPr>
      <w:rPr>
        <w:rFonts w:ascii="Courier New" w:cs="Courier New" w:eastAsia="Courier New" w:hAnsi="Courier New"/>
      </w:rPr>
    </w:lvl>
    <w:lvl w:ilvl="5">
      <w:start w:val="1"/>
      <w:numFmt w:val="bullet"/>
      <w:lvlText w:val="▪"/>
      <w:lvlJc w:val="left"/>
      <w:pPr>
        <w:ind w:left="5089" w:hanging="360"/>
      </w:pPr>
      <w:rPr>
        <w:rFonts w:ascii="Noto Sans Symbols" w:cs="Noto Sans Symbols" w:eastAsia="Noto Sans Symbols" w:hAnsi="Noto Sans Symbols"/>
      </w:rPr>
    </w:lvl>
    <w:lvl w:ilvl="6">
      <w:start w:val="1"/>
      <w:numFmt w:val="bullet"/>
      <w:lvlText w:val="●"/>
      <w:lvlJc w:val="left"/>
      <w:pPr>
        <w:ind w:left="5809" w:hanging="360"/>
      </w:pPr>
      <w:rPr>
        <w:rFonts w:ascii="Noto Sans Symbols" w:cs="Noto Sans Symbols" w:eastAsia="Noto Sans Symbols" w:hAnsi="Noto Sans Symbols"/>
      </w:rPr>
    </w:lvl>
    <w:lvl w:ilvl="7">
      <w:start w:val="1"/>
      <w:numFmt w:val="bullet"/>
      <w:lvlText w:val="o"/>
      <w:lvlJc w:val="left"/>
      <w:pPr>
        <w:ind w:left="6529" w:hanging="360"/>
      </w:pPr>
      <w:rPr>
        <w:rFonts w:ascii="Courier New" w:cs="Courier New" w:eastAsia="Courier New" w:hAnsi="Courier New"/>
      </w:rPr>
    </w:lvl>
    <w:lvl w:ilvl="8">
      <w:start w:val="1"/>
      <w:numFmt w:val="bullet"/>
      <w:lvlText w:val="▪"/>
      <w:lvlJc w:val="left"/>
      <w:pPr>
        <w:ind w:left="7249" w:hanging="360"/>
      </w:pPr>
      <w:rPr>
        <w:rFonts w:ascii="Noto Sans Symbols" w:cs="Noto Sans Symbols" w:eastAsia="Noto Sans Symbols" w:hAnsi="Noto Sans Symbols"/>
      </w:rPr>
    </w:lvl>
  </w:abstractNum>
  <w:abstractNum w:abstractNumId="8">
    <w:lvl w:ilvl="0">
      <w:start w:val="1"/>
      <w:numFmt w:val="bullet"/>
      <w:lvlText w:val="●"/>
      <w:lvlJc w:val="left"/>
      <w:pPr>
        <w:ind w:left="769" w:hanging="359.99999999999994"/>
      </w:pPr>
      <w:rPr>
        <w:rFonts w:ascii="Noto Sans Symbols" w:cs="Noto Sans Symbols" w:eastAsia="Noto Sans Symbols" w:hAnsi="Noto Sans Symbols"/>
      </w:rPr>
    </w:lvl>
    <w:lvl w:ilvl="1">
      <w:start w:val="1"/>
      <w:numFmt w:val="bullet"/>
      <w:lvlText w:val="o"/>
      <w:lvlJc w:val="left"/>
      <w:pPr>
        <w:ind w:left="1489" w:hanging="360"/>
      </w:pPr>
      <w:rPr>
        <w:rFonts w:ascii="Courier New" w:cs="Courier New" w:eastAsia="Courier New" w:hAnsi="Courier New"/>
      </w:rPr>
    </w:lvl>
    <w:lvl w:ilvl="2">
      <w:start w:val="1"/>
      <w:numFmt w:val="bullet"/>
      <w:lvlText w:val="▪"/>
      <w:lvlJc w:val="left"/>
      <w:pPr>
        <w:ind w:left="2209" w:hanging="360"/>
      </w:pPr>
      <w:rPr>
        <w:rFonts w:ascii="Noto Sans Symbols" w:cs="Noto Sans Symbols" w:eastAsia="Noto Sans Symbols" w:hAnsi="Noto Sans Symbols"/>
      </w:rPr>
    </w:lvl>
    <w:lvl w:ilvl="3">
      <w:start w:val="1"/>
      <w:numFmt w:val="bullet"/>
      <w:lvlText w:val="●"/>
      <w:lvlJc w:val="left"/>
      <w:pPr>
        <w:ind w:left="2929" w:hanging="360"/>
      </w:pPr>
      <w:rPr>
        <w:rFonts w:ascii="Noto Sans Symbols" w:cs="Noto Sans Symbols" w:eastAsia="Noto Sans Symbols" w:hAnsi="Noto Sans Symbols"/>
      </w:rPr>
    </w:lvl>
    <w:lvl w:ilvl="4">
      <w:start w:val="1"/>
      <w:numFmt w:val="bullet"/>
      <w:lvlText w:val="o"/>
      <w:lvlJc w:val="left"/>
      <w:pPr>
        <w:ind w:left="3649" w:hanging="360"/>
      </w:pPr>
      <w:rPr>
        <w:rFonts w:ascii="Courier New" w:cs="Courier New" w:eastAsia="Courier New" w:hAnsi="Courier New"/>
      </w:rPr>
    </w:lvl>
    <w:lvl w:ilvl="5">
      <w:start w:val="1"/>
      <w:numFmt w:val="bullet"/>
      <w:lvlText w:val="▪"/>
      <w:lvlJc w:val="left"/>
      <w:pPr>
        <w:ind w:left="4369" w:hanging="360"/>
      </w:pPr>
      <w:rPr>
        <w:rFonts w:ascii="Noto Sans Symbols" w:cs="Noto Sans Symbols" w:eastAsia="Noto Sans Symbols" w:hAnsi="Noto Sans Symbols"/>
      </w:rPr>
    </w:lvl>
    <w:lvl w:ilvl="6">
      <w:start w:val="1"/>
      <w:numFmt w:val="bullet"/>
      <w:lvlText w:val="●"/>
      <w:lvlJc w:val="left"/>
      <w:pPr>
        <w:ind w:left="5089" w:hanging="360"/>
      </w:pPr>
      <w:rPr>
        <w:rFonts w:ascii="Noto Sans Symbols" w:cs="Noto Sans Symbols" w:eastAsia="Noto Sans Symbols" w:hAnsi="Noto Sans Symbols"/>
      </w:rPr>
    </w:lvl>
    <w:lvl w:ilvl="7">
      <w:start w:val="1"/>
      <w:numFmt w:val="bullet"/>
      <w:lvlText w:val="o"/>
      <w:lvlJc w:val="left"/>
      <w:pPr>
        <w:ind w:left="5809" w:hanging="360"/>
      </w:pPr>
      <w:rPr>
        <w:rFonts w:ascii="Courier New" w:cs="Courier New" w:eastAsia="Courier New" w:hAnsi="Courier New"/>
      </w:rPr>
    </w:lvl>
    <w:lvl w:ilvl="8">
      <w:start w:val="1"/>
      <w:numFmt w:val="bullet"/>
      <w:lvlText w:val="▪"/>
      <w:lvlJc w:val="left"/>
      <w:pPr>
        <w:ind w:left="65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https://kenesh.kg/posts/10163" TargetMode="External"/><Relationship Id="rId11" Type="http://schemas.openxmlformats.org/officeDocument/2006/relationships/hyperlink" Target="https://www.facebook.com/KyrgyzPresident/posts/pfbid0kxAsP24TGfaPJnLsCLEhVYymmhi6tWVLVoLrwEqeULWM8qRHTkbbYdLZzPb4NCEBl" TargetMode="External"/><Relationship Id="rId22" Type="http://schemas.openxmlformats.org/officeDocument/2006/relationships/footer" Target="footer1.xml"/><Relationship Id="rId10" Type="http://schemas.openxmlformats.org/officeDocument/2006/relationships/hyperlink" Target="https://icnlalliance-my.sharepoint.com/:w:/g/personal/akurmanalieva_icnlalliance_kg/EWhrsWfXYjJIjtOc0Rwfy-oBsPq70sFV1AXt4dHxB1ZWUg?e=mXJCIX" TargetMode="External"/><Relationship Id="rId21" Type="http://schemas.openxmlformats.org/officeDocument/2006/relationships/hyperlink" Target="https://kenesh.kg/bills/655612" TargetMode="External"/><Relationship Id="rId13" Type="http://schemas.openxmlformats.org/officeDocument/2006/relationships/hyperlink" Target="http://koomtalkuu.gov.kg/ru/view-npa/4155" TargetMode="External"/><Relationship Id="rId12" Type="http://schemas.openxmlformats.org/officeDocument/2006/relationships/hyperlink" Target="http://koomtalkuu.gov.kg/ru/view-npa/4153"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nlalliance-my.sharepoint.com/:w:/g/personal/akurmanalieva_icnlalliance_kg/Ef3SWpuwO4hOpBdZrQhEFVwBqgEI49JrRujHkWlvazcThA?e=LVoENB" TargetMode="External"/><Relationship Id="rId15" Type="http://schemas.openxmlformats.org/officeDocument/2006/relationships/hyperlink" Target="mailto:samyikozho@gmail.com" TargetMode="External"/><Relationship Id="rId14" Type="http://schemas.openxmlformats.org/officeDocument/2006/relationships/hyperlink" Target="https://icnlalliance-my.sharepoint.com/:w:/g/personal/akurmanalieva_icnlalliance_kg/EfP0K2JRqfpBhObJ6AGRhiMBfBKwcUlNZJbk4YYBxqJ2OA?e=PGqGYO" TargetMode="External"/><Relationship Id="rId17" Type="http://schemas.openxmlformats.org/officeDocument/2006/relationships/hyperlink" Target="https://cbd.minjust.gov.kg/282/edition/802636/ru" TargetMode="External"/><Relationship Id="rId16" Type="http://schemas.openxmlformats.org/officeDocument/2006/relationships/hyperlink" Target="http://koomtalkuu.gov.kg/ru/view-npa/4159" TargetMode="External"/><Relationship Id="rId5" Type="http://schemas.openxmlformats.org/officeDocument/2006/relationships/styles" Target="styles.xml"/><Relationship Id="rId19" Type="http://schemas.openxmlformats.org/officeDocument/2006/relationships/hyperlink" Target="https://icnlalliance-my.sharepoint.com/:w:/g/personal/akurmanalieva_icnlalliance_kg/EWyRANIl2lNDk9sh05NzOFcBFTEf1016wuX3toDbdgakFQ?e=ZiXnVp" TargetMode="External"/><Relationship Id="rId6" Type="http://schemas.openxmlformats.org/officeDocument/2006/relationships/image" Target="media/image1.png"/><Relationship Id="rId18" Type="http://schemas.openxmlformats.org/officeDocument/2006/relationships/hyperlink" Target="http://koomtalkuu.gov.kg/ru/view-npa/4178" TargetMode="External"/><Relationship Id="rId7" Type="http://schemas.openxmlformats.org/officeDocument/2006/relationships/hyperlink" Target="https://icnlalliance-my.sharepoint.com/:f:/g/personal/akurmanalieva_icnlalliance_kg/EiQ8JB8kAyVEoHXBs2WL_oUB-f6IB4eN5Bhu51FqmMMSCg?e=1vWBmP" TargetMode="External"/><Relationship Id="rId8" Type="http://schemas.openxmlformats.org/officeDocument/2006/relationships/hyperlink" Target="https://icnlalliance-my.sharepoint.com/:w:/g/personal/akurmanalieva_icnlalliance_kg/EWhrsWfXYjJIjtOc0Rwfy-oBsPq70sFV1AXt4dHxB1ZWUg?e=gTPSA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