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120093" cy="8174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93" cy="817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firstLine="720"/>
        <w:jc w:val="center"/>
        <w:rPr>
          <w:rFonts w:ascii="Cambria" w:cs="Cambria" w:eastAsia="Cambria" w:hAnsi="Cambria"/>
          <w:b w:val="1"/>
          <w:bCs w:val="1"/>
          <w:color w:val="2e75b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e75b5"/>
          <w:rtl w:val="0"/>
        </w:rPr>
        <w:t xml:space="preserve">ИНФОРМАЦИОННЫЙ БЮЛЛЕТЕНЬ N 62</w:t>
      </w:r>
    </w:p>
    <w:p w:rsidR="00000000" w:rsidDel="00000000" w:rsidP="00000000" w:rsidRDefault="00000000" w:rsidRPr="00000000" w14:paraId="00000003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ПО НОРМОТВОРЧЕСКИМ ИНИЦИАТИВАМ ГОСУДАРСТВЕННЫХ ОРГАНОВ, КОТОРЫЕ МОГУТ ОКАЗАТЬ ВЛИЯНИЕ НА ГРАЖДАНСКИЕ ПРАВА И ПРАВОВУЮ СРЕДУ ДЛЯ ДЕЯТЕЛЬНОСТИ ОРГАНИЗАЦИЙ ГРАЖДАНСКОГО ОБЩЕСТВА </w:t>
      </w:r>
    </w:p>
    <w:p w:rsidR="00000000" w:rsidDel="00000000" w:rsidP="00000000" w:rsidRDefault="00000000" w:rsidRPr="00000000" w14:paraId="00000004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30 сентября 2024 года</w:t>
      </w:r>
    </w:p>
    <w:p w:rsidR="00000000" w:rsidDel="00000000" w:rsidP="00000000" w:rsidRDefault="00000000" w:rsidRPr="00000000" w14:paraId="00000005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id w:val="-1298862266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Анализ Положения о порядке ведения реестра НКО, выполняющих функции иностранного представителя, и проведения проверки их деятельности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1fob9te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_1fob9te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Профильный комитет Жогорку Кенеша одобрил проект Закона КР «О внесении изменений в Кодекс Кыргызской Республики о правонарушениях» для его принятия в первом чтении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_3znysh7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Профильный комитет Жогорку Кенеша одобрил проекты нового Трудового кодекса КР и Закона КР «О введении в действие Трудового кодекса КР и внесении изменений в некоторые законодательные акты КР в сфере труда»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2et92p0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_2et92p0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Жогорку Кенеш отклонил проект конституционного Закона «О внесении изменений в конституционный закон Кыргызской Республики «О Народном Курултае»»</w:t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tyjcwt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_tyjcwt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Инициирована Концепции развития волонтерской деятельности в Кыргызской Республике на 2025-2030 годы</w:t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hyperlink>
          <w:hyperlink w:anchor="_3dy6vkm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_3dy6vkm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С 1 октября 2024 г. ОсОО в г. Ош и Ошской области будут регистрироваться исключительно онлайн</w:t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tabs>
              <w:tab w:val="left" w:leader="none" w:pos="1134"/>
            </w:tabs>
            <w:spacing w:after="120" w:line="276" w:lineRule="auto"/>
            <w:rPr>
              <w:rFonts w:ascii="Cambria" w:cs="Cambria" w:eastAsia="Cambria" w:hAnsi="Cambria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E">
      <w:pPr>
        <w:spacing w:line="276" w:lineRule="auto"/>
        <w:ind w:left="720" w:firstLine="0"/>
        <w:rPr>
          <w:rFonts w:ascii="Cambria" w:cs="Cambria" w:eastAsia="Cambria" w:hAnsi="Cambria"/>
          <w:i w:val="1"/>
          <w:iCs w:val="1"/>
          <w:color w:val="2e75b5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Ознакомиться со всеми предыдущими выпусками информационных бюллетеней на русском и кыргызском языках можно </w:t>
      </w:r>
      <w:hyperlink r:id="rId7">
        <w:r w:rsidDel="00000000" w:rsidR="00000000" w:rsidRPr="00000000">
          <w:rPr>
            <w:rFonts w:ascii="Cambria" w:cs="Cambria" w:eastAsia="Cambria" w:hAnsi="Cambria"/>
            <w:i w:val="1"/>
            <w:iCs w:val="1"/>
            <w:color w:val="0563c1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i w:val="1"/>
          <w:iCs w:val="1"/>
          <w:color w:val="2e75b5"/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498"/>
        </w:tabs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spacing w:after="120" w:before="0"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numPr>
          <w:ilvl w:val="0"/>
          <w:numId w:val="1"/>
        </w:numPr>
        <w:spacing w:after="120" w:before="0" w:line="276" w:lineRule="auto"/>
        <w:ind w:left="1094" w:hanging="357"/>
        <w:jc w:val="both"/>
        <w:rPr/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Анализ Положения о порядке ведения реестра НКО, выполняющих функции иностранного представителя, и проведения проверки их деятельности</w:t>
      </w:r>
    </w:p>
    <w:p w:rsidR="00000000" w:rsidDel="00000000" w:rsidP="00000000" w:rsidRDefault="00000000" w:rsidRPr="00000000" w14:paraId="0000001A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Как было ранее указано в Информационном бюллетене №61, 27 августа 2024 г. Кабинет Министров принял </w:t>
      </w:r>
      <w:hyperlink r:id="rId8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Постановление №518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«О мерах по реализации Закона Кыргызской Республики «О некоммерческих организациях»». Данным Постановлением утверждено новое </w:t>
      </w:r>
      <w:hyperlink r:id="rId9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Положение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о порядке ведения реестра НКО, выполняющих функции иностранного представителя, и проведения проверки их деятельности (далее – Положение), а также установлено, что уполномоченным государственным органом по ведению Реестра НКО, выполняющих функции иностранного представителя (далее – Реестр), является Министерство юстиции КР (МЮ).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Международный центр некоммерческого права (МЦНП) подготовил Анализ по данному Положению. МЦНП отмечает, что в Положение включены ряд дополнительных требований к «НКО – иностранным представителям» по предоставлению ими информации, предоставление которой не предусмотрено Законом КР «О внесении изменений в Закон КР «О некоммерческих организациях» от 2 апреля 2024 года (далее – Закон об иностранных представителях). В частности, Положение предусматривает </w:t>
      </w:r>
      <w:r w:rsidDel="00000000" w:rsidR="00000000" w:rsidRPr="00000000">
        <w:rPr>
          <w:color w:val="000000"/>
          <w:rtl w:val="0"/>
        </w:rPr>
        <w:t xml:space="preserve">включение в Реестр излишней информации о НКО (адреса, ИНН, кода ОКПО, банковских реквизитов и множества другой информации), включение которой не требуется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Законом об иностранных представителях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соответствии с частью 11 статьи 17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Закона об иностранных представителях, правом проведения проверок «НКО – иностранных представителей» наделен уполномоченный орган в сфере государственной регистрации, которым является МЮ. Однако, согласно пункту 37 Положения, проверки могут проводить налоговые органы по вопросам финансовой прозрачности и соблюдения налогового законодательства; Министерство культуры, информации, спорта и молодежной политики по вопросам маркировки материалов, производимых или распространяемых НКО; органы прокуратуры по вопросам участия НКО в политической деятельности и соблюдения уставных целей, а также другие государственные органы.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исключения из Реестра «НКО - иностранный представитель» должна прекратить политическую деятельность и/или получение иностранного финансирования не менее чем за 12 месяцев до подачи заявления. Это приводит к тому, что НКО остается в Реестре более года, даже если уже не соответствует критериям «НКО – иностранного представителя».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Анализе МЦНП также отражены другие недостатки Положения. Более подробно ознакомиться с Анализом МЦНП можно здесь на </w:t>
      </w:r>
      <w:hyperlink r:id="rId1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русском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и </w:t>
      </w:r>
      <w:hyperlink r:id="rId1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английском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языках.</w:t>
      </w:r>
    </w:p>
    <w:p w:rsidR="00000000" w:rsidDel="00000000" w:rsidP="00000000" w:rsidRDefault="00000000" w:rsidRPr="00000000" w14:paraId="00000020">
      <w:pPr>
        <w:pStyle w:val="Heading3"/>
        <w:numPr>
          <w:ilvl w:val="0"/>
          <w:numId w:val="1"/>
        </w:numPr>
        <w:spacing w:after="120" w:before="0" w:line="276" w:lineRule="auto"/>
        <w:ind w:left="1094" w:hanging="357"/>
        <w:jc w:val="both"/>
        <w:rPr/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Профильный комитет Жогорку Кенеша одобрил проект Закона КР «О внесении изменений в Кодекс Кыргызской Республики о правонарушениях» для его принятия в первом чтении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Как известно, 27 августа 2024 г. в Едином портале общественного обсуждения проектов нормативных правовых актов (далее - Единый портал) для общественного обсуждения был опубликован проект Закона КР «О внесении изменений в Кодекс Кыргызской Республики о правонарушениях». Инициатором данного законопроекта является Министерство культуры, информации, спорта и молодежной политики КР.</w:t>
      </w:r>
    </w:p>
    <w:p w:rsidR="00000000" w:rsidDel="00000000" w:rsidP="00000000" w:rsidRDefault="00000000" w:rsidRPr="00000000" w14:paraId="00000023">
      <w:pPr>
        <w:spacing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Согласно справке-обоснованию, законопроект был разработан в целях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защиты законных интересов потерпевшего и обеспечения справедливости в рамках правовой системы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Законопроектом предлагается установление ответственности в виде штрафа в размере 1 000 расчетных показателей (или 100 000 сомов) для физических лиц и 2 000 расчетных показателей (или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200 000 сомов) для юридических лиц за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объявление, распространение ложных, вводящих в заблуждение или ошибочных сведений с использованием средств массовой информации, на сайте в сети Интернет, на странице сайта в сети Интернет с использованием социальных сетей.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17 сентября 2024 г. Комитет Жогорку Кенеша по транспорту, коммуникациям, архитектуре и строительству рассмотрел и большинством голосов </w:t>
      </w:r>
      <w:hyperlink r:id="rId12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одобрил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данный законопроект и рекомендовал парламенту принять его в первом чтении. Против принятия данного законопроекта выступили два депутата: Исхак Масалиев и Эльдар Абакиров. Исхак Масалиев выразил обеспокоенность по поводу данного законопроекта и отметил, что действующие штрафы составляют одну или две тысячи сомов, в то время как законопроектом за клевету предлагается штраф превышающий эти суммы в сотни раз. По словам Масалиева, инициаторы изменений объясняют это необходимостью пересмотра кратности штрафов, однако он подчеркивает, что в таком случае нужно пересматривать все статьи Кодекса. 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Согласно Анализу законопроекта, проведенному Общественным фондом «Правовая клиника «Адилет»», он противоречит требованиям Конституции КР и Кодекса КР о правонарушениях. Эксперты фонда подчеркивают, что законопроект несет серьезные риски неправомерных отступлений от гарантий свободы выражения мнений, защищаемых международными договорами, участницей которых является Кыргызская Республика, а также общепризнанных принципов международного права. Более подробно ознакомиться с данным Анализом можно </w:t>
      </w:r>
      <w:hyperlink r:id="rId1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numPr>
          <w:ilvl w:val="0"/>
          <w:numId w:val="1"/>
        </w:numPr>
        <w:tabs>
          <w:tab w:val="left" w:leader="none" w:pos="2826"/>
        </w:tabs>
        <w:spacing w:before="0" w:line="276" w:lineRule="auto"/>
        <w:ind w:left="1094" w:hanging="357"/>
        <w:jc w:val="both"/>
        <w:rPr/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Профильный комитет Жогорку Кенеша одобрил проекты нового Трудового кодекса КР и Закона КР «О введении в действие Трудового кодекса КР и внесении изменений в некоторые законодательные акты КР в сфере труда» </w:t>
      </w:r>
    </w:p>
    <w:p w:rsidR="00000000" w:rsidDel="00000000" w:rsidP="00000000" w:rsidRDefault="00000000" w:rsidRPr="00000000" w14:paraId="0000002A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Как известно, 7 мая 2024 г. на сайте Жогорку Кенеша были зарегистрированы проекты нового Трудового кодекса КР (проект нового ТК) и Закона КР «О введении в действие Трудового кодекса КР и внесении изменений в некоторые законодательные акты КР в сфере труда» (далее – законопроект). Инициатором данных законопроектов является Кабинет Министров. Ранее в </w:t>
      </w:r>
      <w:hyperlink r:id="rId14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Информационном бюллетене №53</w:t>
        </w:r>
      </w:hyperlink>
      <w:r w:rsidDel="00000000" w:rsidR="00000000" w:rsidRPr="00000000">
        <w:rPr>
          <w:rtl w:val="0"/>
        </w:rPr>
        <w:t xml:space="preserve"> были изложены основные положения данных законопроектов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 сентября 2024 г. Комитет Жогорку Кенеша по международным делам, обороне, безопасности и миграции рассмотрел и </w:t>
      </w:r>
      <w:hyperlink r:id="rId1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одобрил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эти законопроекты и рекомендовал парламенту  принять их в первом чтении. В ходе обсуждения законопроектов депутат Жогорку Кенеша Чингиз Айдарбеков выразил обеспокоенность предложением об уменьшении размера выходного пособия при сокращении штата или реорганизации юридического лица с трёх среднемесячных заработных плат до двух. По его мнению, законопроект не должен содержать нормы, которые ухудшают права работников.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Согласно </w:t>
      </w:r>
      <w:hyperlink r:id="rId1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повестке дня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Комитет по социальной политике Жогорку Кенеша планирует рассмотреть эти законопроекты 30 сентября 2024 г.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текстами проекта нового Трудового кодекса и законопроекта можно </w:t>
      </w:r>
      <w:hyperlink r:id="rId1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и </w:t>
      </w:r>
      <w:hyperlink r:id="rId1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а с сопроводительными документами к ним - </w:t>
      </w:r>
      <w:hyperlink r:id="rId1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pStyle w:val="Heading3"/>
        <w:numPr>
          <w:ilvl w:val="0"/>
          <w:numId w:val="1"/>
        </w:numPr>
        <w:tabs>
          <w:tab w:val="left" w:leader="none" w:pos="2826"/>
        </w:tabs>
        <w:spacing w:before="0" w:line="276" w:lineRule="auto"/>
        <w:ind w:left="1094" w:hanging="357"/>
        <w:jc w:val="both"/>
        <w:rPr/>
      </w:pPr>
      <w:bookmarkStart w:colFirst="0" w:colLast="0" w:name="_2et92p0" w:id="4"/>
      <w:bookmarkEnd w:id="4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Жогорку Кенеш отклонил проект конституционного Закона «О внесении изменений в конституционный закон Кыргызской Республики «О Народном Курултае»» </w:t>
      </w:r>
    </w:p>
    <w:p w:rsidR="00000000" w:rsidDel="00000000" w:rsidP="00000000" w:rsidRDefault="00000000" w:rsidRPr="00000000" w14:paraId="0000002F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Как было ранее указано в </w:t>
      </w:r>
      <w:hyperlink r:id="rId20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Информационном бюллетене №54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17 мая 2024 г. на сайте Жогорку Кенеша был зарегистрирован проект конституционного Закона «О внесении изменений в конституционный закон Кыргызской Республики «О Народном Курултае»», инициатором которого является депутат Жогорку Кенеша Абдылдаев М.Ю. </w:t>
      </w:r>
    </w:p>
    <w:p w:rsidR="00000000" w:rsidDel="00000000" w:rsidP="00000000" w:rsidRDefault="00000000" w:rsidRPr="00000000" w14:paraId="00000030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24 сентября 2024 г. Комитет по конституционному законодательству, государственному устройству, судебно-правовым вопросам и регламенту Жогорку Кенеша рассмотрел и </w:t>
      </w:r>
      <w:hyperlink r:id="rId21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одобрил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 проект данного конституционного Закона. </w:t>
      </w:r>
    </w:p>
    <w:p w:rsidR="00000000" w:rsidDel="00000000" w:rsidP="00000000" w:rsidRDefault="00000000" w:rsidRPr="00000000" w14:paraId="00000031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Однако, 25 сентября 2024 г. Жогорку Кенеш, рассмотрев данный законопроект в первом чтении, </w:t>
      </w:r>
      <w:hyperlink r:id="rId22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отклонил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его. При рассмотрении законопроекта депутат Исхак Масалиев выразил обеспокоенность относительно отдельных норм законопроекта, согласно которым Народный курултай будет дублировать функции парламента. По его мнению, принятие соответствующего законопроекта приведет к необходимости роспуска Жогорку Кенеша. В итоге депутаты отклонили законопроект без обсуждения: 8 депутатов проголосовали "за", 59 — "против".</w:t>
      </w:r>
    </w:p>
    <w:p w:rsidR="00000000" w:rsidDel="00000000" w:rsidP="00000000" w:rsidRDefault="00000000" w:rsidRPr="00000000" w14:paraId="00000032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Законопроектом предлагалось: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Избирание делегатов Народного Курултая сроком на один год со дня проведения Народного Курултая;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Определение и перечисление прав и обязанностей делегатов Народного Курултая;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Введение запрета делегатам Народного Курултая вмешиваться в работу местных государственных администраций и органов местного самоуправления;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Исключить из Закона полномочия Национального совета Народного Курултая по избранию секретариата Народного Курултая, оставив за ним лишь полномочия по даче рекомендаций при избрании секретариата;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 иные положения.</w:t>
      </w:r>
    </w:p>
    <w:p w:rsidR="00000000" w:rsidDel="00000000" w:rsidP="00000000" w:rsidRDefault="00000000" w:rsidRPr="00000000" w14:paraId="00000038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Ознакомиться с текстом проекта конституционного закона, а также с сопроводительными документами к нему можно </w:t>
      </w:r>
      <w:hyperlink r:id="rId2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9">
      <w:pPr>
        <w:pStyle w:val="Heading3"/>
        <w:numPr>
          <w:ilvl w:val="0"/>
          <w:numId w:val="1"/>
        </w:numPr>
        <w:spacing w:before="240" w:line="276" w:lineRule="auto"/>
        <w:ind w:left="720" w:hanging="360"/>
        <w:jc w:val="both"/>
        <w:rPr/>
      </w:pPr>
      <w:bookmarkStart w:colFirst="0" w:colLast="0" w:name="_tyjcwt" w:id="5"/>
      <w:bookmarkEnd w:id="5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Инициирована Концепция развития волонтерской деятельности в Кыргызской Республике на 2025-2030 годы</w:t>
      </w:r>
    </w:p>
    <w:p w:rsidR="00000000" w:rsidDel="00000000" w:rsidP="00000000" w:rsidRDefault="00000000" w:rsidRPr="00000000" w14:paraId="0000003A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6 сентября 2024 г. В Едином портале для общественного обсуждения был опубликован проект Постановления Кабинета Министров «Об утверждении Концепции развития волонтерской деятельности в Кыргызской Республике на 2025-2030 годы». </w:t>
      </w:r>
    </w:p>
    <w:p w:rsidR="00000000" w:rsidDel="00000000" w:rsidP="00000000" w:rsidRDefault="00000000" w:rsidRPr="00000000" w14:paraId="0000003B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Согласно справке-обоснованию, проект Постановления Кабинета Министров разработан в целях реализации статьи 16 Закона КР «О волонтерской деятельности», согласно которой к компетенции Кабинета Министров отнесено принятие соответствующих программ, стратегий и концепций по осуществлению и развитию волонтерской деятельности.</w:t>
      </w:r>
    </w:p>
    <w:p w:rsidR="00000000" w:rsidDel="00000000" w:rsidP="00000000" w:rsidRDefault="00000000" w:rsidRPr="00000000" w14:paraId="0000003C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Проект Концепции развития волонтерской деятельности в КР на 2025-2030 годы определяет основные направления, цели, задачи государства по продвижению и развитию волонтерской деятельности, поддержке волонтеров и волонтерских организаций и повышению их потенциала.</w:t>
      </w:r>
    </w:p>
    <w:p w:rsidR="00000000" w:rsidDel="00000000" w:rsidP="00000000" w:rsidRDefault="00000000" w:rsidRPr="00000000" w14:paraId="0000003D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Ознакомиться с текстом проекта постановления и сопроводительными документами к нему можно </w:t>
      </w:r>
      <w:hyperlink r:id="rId24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Заинтересованные лица могут направить свои рекомендации и комментарии по проекту постановления через Единый портал до 6 октября 2024 г.</w:t>
      </w:r>
    </w:p>
    <w:p w:rsidR="00000000" w:rsidDel="00000000" w:rsidP="00000000" w:rsidRDefault="00000000" w:rsidRPr="00000000" w14:paraId="0000003E">
      <w:pPr>
        <w:pStyle w:val="Heading3"/>
        <w:numPr>
          <w:ilvl w:val="0"/>
          <w:numId w:val="1"/>
        </w:numPr>
        <w:tabs>
          <w:tab w:val="left" w:leader="none" w:pos="2826"/>
        </w:tabs>
        <w:spacing w:after="120" w:before="0" w:line="276" w:lineRule="auto"/>
        <w:ind w:left="1094" w:hanging="357"/>
        <w:jc w:val="both"/>
        <w:rPr/>
      </w:pPr>
      <w:bookmarkStart w:colFirst="0" w:colLast="0" w:name="_3dy6vkm" w:id="6"/>
      <w:bookmarkEnd w:id="6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 1 октября 2024 года в городе Ош и Ошской области ОсОО будут регистрироваться только в онлайн режиме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Министерство юстиции </w:t>
      </w:r>
      <w:hyperlink r:id="rId2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объявило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что с 1 октября 2024 г. регистрация Обществ с ограниченной ответственностью (ОсОО) в городе Ош и Ошской области будет проводиться исключительно онлайн.  Это нововведение, по словам представителей Министерства юстиции,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направлено на упрощение административных процедур и поддержку предпринимателей в условиях цифровой экономики.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Ссылка на систему онлайн регистрации ОсОО доступна на официальном </w:t>
      </w:r>
      <w:hyperlink r:id="rId2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сайте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Министерства юстиции. На этом же сайте можно ознакомиться с инструкциями по прохождению онлайн регистрации ОсОО.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Министерство юстиции ранее объявляло о том, что с 27 августа 2024 г. регистрация ОсОО в городе Бишкек и Чуйской области также проводится исключительно в режиме онлайн.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получения дополнительной информации можно связаться со специалистами Министерства юстиции по следующим номерам телефона: 0 312 62 62 10 (внутренние номера 135, 175 или 189), 0 700 64 97 97 и 0 772 64 74 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27" w:type="default"/>
      <w:footerReference r:id="rId28" w:type="first"/>
      <w:pgSz w:h="15840" w:w="12240" w:orient="portrait"/>
      <w:pgMar w:bottom="709" w:top="993" w:left="1530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790" w:hanging="360"/>
      </w:pPr>
      <w:rPr>
        <w:rFonts w:ascii="Cambria" w:cs="Cambria" w:eastAsia="Cambria" w:hAnsi="Cambria"/>
        <w:color w:val="2f5496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Bked6Ccog_OkW1QwhNZobLtx2GjoWlva/edit?usp=sharing&amp;ouid=106297453833104951749&amp;rtpof=true&amp;sd=true" TargetMode="External"/><Relationship Id="rId22" Type="http://schemas.openxmlformats.org/officeDocument/2006/relationships/hyperlink" Target="https://kenesh.kg/ru/posts/10305" TargetMode="External"/><Relationship Id="rId21" Type="http://schemas.openxmlformats.org/officeDocument/2006/relationships/hyperlink" Target="https://kenesh.kg/ru/posts/10294" TargetMode="External"/><Relationship Id="rId24" Type="http://schemas.openxmlformats.org/officeDocument/2006/relationships/hyperlink" Target="http://koomtalkuu.gov.kg/ru/view-npa/4177" TargetMode="External"/><Relationship Id="rId23" Type="http://schemas.openxmlformats.org/officeDocument/2006/relationships/hyperlink" Target="https://kenesh.kg/ru/bills/65200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cnlalliance-my.sharepoint.com/:w:/g/personal/akurmanalieva_icnlalliance_kg/EWhrsWfXYjJIjtOc0Rwfy-oBsPq70sFV1AXt4dHxB1ZWUg?e=mXJCIX" TargetMode="External"/><Relationship Id="rId26" Type="http://schemas.openxmlformats.org/officeDocument/2006/relationships/hyperlink" Target="https://online.minjust.gov.kg/user" TargetMode="External"/><Relationship Id="rId25" Type="http://schemas.openxmlformats.org/officeDocument/2006/relationships/hyperlink" Target="https://minjust.gov.kg/ru/public-news/121" TargetMode="External"/><Relationship Id="rId28" Type="http://schemas.openxmlformats.org/officeDocument/2006/relationships/footer" Target="footer2.xm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icnlalliance-my.sharepoint.com/:f:/g/personal/akurmanalieva_icnlalliance_kg/EiQ8JB8kAyVEoHXBs2WL_oUB-f6IB4eN5Bhu51FqmMMSCg?e=1vWBmP" TargetMode="External"/><Relationship Id="rId8" Type="http://schemas.openxmlformats.org/officeDocument/2006/relationships/hyperlink" Target="https://icnlalliance-my.sharepoint.com/:w:/g/personal/akurmanalieva_icnlalliance_kg/Ef3SWpuwO4hOpBdZrQhEFVwBqgEI49JrRujHkWlvazcThA?rtime=lgDzAezd3Eg" TargetMode="External"/><Relationship Id="rId11" Type="http://schemas.openxmlformats.org/officeDocument/2006/relationships/hyperlink" Target="https://www.icnl.org/wp-content/uploads/Eng_Analysis_of_the_Implementing_Regulations_to_the_KR_Law_on_FRs_fv.pdf" TargetMode="External"/><Relationship Id="rId10" Type="http://schemas.openxmlformats.org/officeDocument/2006/relationships/hyperlink" Target="https://www.icnl.org/wp-content/uploads/Analysis-of-the-Implementing-Regulations-to-the-KR-Law-on-FRs_September-17-2024_fv.pdf" TargetMode="External"/><Relationship Id="rId13" Type="http://schemas.openxmlformats.org/officeDocument/2006/relationships/hyperlink" Target="https://icnlalliance-my.sharepoint.com/:w:/g/personal/akurmanalieva_icnlalliance_kg/ERvOI_okV0pHtT51J_4QWREBNNO7RbRGqSEnQ0Va1Z9BGg?e=NQConZ" TargetMode="External"/><Relationship Id="rId12" Type="http://schemas.openxmlformats.org/officeDocument/2006/relationships/hyperlink" Target="https://kenesh.kg/ru/posts/10238" TargetMode="External"/><Relationship Id="rId15" Type="http://schemas.openxmlformats.org/officeDocument/2006/relationships/hyperlink" Target="https://kenesh.kg/posts/10239" TargetMode="External"/><Relationship Id="rId14" Type="http://schemas.openxmlformats.org/officeDocument/2006/relationships/hyperlink" Target="https://docs.google.com/document/d/1JAIaDgPuPYfsqtmUjrJ6hniXdn-vfO-t/edit?usp=sharing&amp;ouid=106297453833104951749&amp;rtpof=true&amp;sd=true" TargetMode="External"/><Relationship Id="rId17" Type="http://schemas.openxmlformats.org/officeDocument/2006/relationships/hyperlink" Target="https://icnlalliance-my.sharepoint.com/:w:/g/personal/akurmanalieva_icnlalliance_kg/EcyxcZiM4fdMmu-bRDE9mC8Bu38dEhN_iwtL5R6uOS5c_A?e=ULcop2" TargetMode="External"/><Relationship Id="rId16" Type="http://schemas.openxmlformats.org/officeDocument/2006/relationships/hyperlink" Target="https://kenesh.kg/agenda/show/3732" TargetMode="External"/><Relationship Id="rId19" Type="http://schemas.openxmlformats.org/officeDocument/2006/relationships/hyperlink" Target="https://kenesh.kg/bills/651733" TargetMode="External"/><Relationship Id="rId18" Type="http://schemas.openxmlformats.org/officeDocument/2006/relationships/hyperlink" Target="https://icnlalliance-my.sharepoint.com/:w:/g/personal/akurmanalieva_icnlalliance_kg/EZoecbapAwRJk_vl9qgfXosBDS8am0vOUvhss_DVatZg0A?e=LvGGu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6b36a958e77e425c7cd55351a1eb62c8c09a3e93cf1c21db09815d22f502bdad</vt:lpwstr>
  </property>
</Properties>
</file>