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rPr>
        <w:drawing>
          <wp:inline distB="0" distT="0" distL="0" distR="0">
            <wp:extent cx="1120093" cy="8174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0093" cy="8174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76" w:lineRule="auto"/>
        <w:ind w:firstLine="720"/>
        <w:jc w:val="center"/>
        <w:rPr>
          <w:rFonts w:ascii="Cambria" w:cs="Cambria" w:eastAsia="Cambria" w:hAnsi="Cambria"/>
          <w:b w:val="1"/>
          <w:bCs w:val="1"/>
          <w:color w:val="2e75b5"/>
        </w:rPr>
      </w:pPr>
      <w:r w:rsidDel="00000000" w:rsidR="00000000" w:rsidRPr="00000000">
        <w:rPr>
          <w:rFonts w:ascii="Cambria" w:cs="Cambria" w:eastAsia="Cambria" w:hAnsi="Cambria"/>
          <w:b w:val="1"/>
          <w:bCs w:val="1"/>
          <w:color w:val="2e75b5"/>
          <w:rtl w:val="0"/>
        </w:rPr>
        <w:t xml:space="preserve">ИНФОРМАЦИОННЫЙ БЮЛЛЕТЕНЬ N 64</w:t>
      </w:r>
    </w:p>
    <w:p w:rsidR="00000000" w:rsidDel="00000000" w:rsidP="00000000" w:rsidRDefault="00000000" w:rsidRPr="00000000" w14:paraId="00000003">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ПО НОРМОТВОРЧЕСКИМ ИНИЦИАТИВАМ ГОСУДАРСТВЕННЫХ ОРГАНОВ, КОТОРЫЕ МОГУТ ОКАЗАТЬ ВЛИЯНИЕ НА ГРАЖДАНСКИЕ ПРАВА И ПРАВОВУЮ СРЕДУ ДЛЯ ДЕЯТЕЛЬНОСТИ ОРГАНИЗАЦИЙ ГРАЖДАНСКОГО ОБЩЕСТВА </w:t>
      </w:r>
    </w:p>
    <w:p w:rsidR="00000000" w:rsidDel="00000000" w:rsidP="00000000" w:rsidRDefault="00000000" w:rsidRPr="00000000" w14:paraId="00000004">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31 октября 2024 года</w:t>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left"/>
        <w:rPr>
          <w:rFonts w:ascii="Cambria" w:cs="Cambria" w:eastAsia="Cambria" w:hAnsi="Cambria"/>
          <w:b w:val="0"/>
          <w:bCs w:val="0"/>
          <w:i w:val="0"/>
          <w:iCs w:val="0"/>
          <w:smallCaps w:val="0"/>
          <w:strike w:val="0"/>
          <w:color w:val="2e75b5"/>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2e75b5"/>
          <w:sz w:val="22"/>
          <w:szCs w:val="22"/>
          <w:u w:val="none"/>
          <w:shd w:fill="auto" w:val="clear"/>
          <w:vertAlign w:val="baseline"/>
          <w:rtl w:val="0"/>
        </w:rPr>
        <w:t xml:space="preserve">Оглавление</w:t>
      </w:r>
    </w:p>
    <w:sdt>
      <w:sdtPr>
        <w:id w:val="1230973397"/>
        <w:docPartObj>
          <w:docPartGallery w:val="Table of Contents"/>
          <w:docPartUnique w:val="1"/>
        </w:docPartObj>
      </w:sdtPr>
      <w:sdtContent>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hyperlink>
          <w:hyperlink w:anchor="_30j0zl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проект Положения о принципах открытости и подотчетности органов местного самоуправления перед местным сообществом</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1fob9te">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w:t>
            </w:r>
          </w:hyperlink>
          <w:hyperlink w:anchor="_1fob9t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Проект Закона об ответственности за оскорбление и клевету принят в первом чтении</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3znysh7">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w:t>
            </w:r>
          </w:hyperlink>
          <w:hyperlink w:anchor="_3znysh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проект Предпринимательского кодекса КР</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2et92p0">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w:t>
            </w:r>
          </w:hyperlink>
          <w:hyperlink w:anchor="_2et92p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проект Закона, направленный на улучшение миграционной  ситуации</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tyjcwt">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hyperlink>
          <w:hyperlink w:anchor="_tyjcw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Состоялись парламентские общественные слушания по проекту новой редакции Трудового кодекса КР</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3dy6vkm">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w:t>
            </w:r>
          </w:hyperlink>
          <w:hyperlink w:anchor="_3dy6vk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_3dy6vkm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Профильный комитет Жогорку Кенеша одобрил проект Цифрового кодекса КР</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1t3h5sf">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w:t>
            </w:r>
          </w:hyperlink>
          <w:hyperlink w:anchor="_1t3h5s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_1t3h5sf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проект Закона КР «О внесении изменений в некоторые законодательные акты по вопросам деятельности Акыйкатчы (Омбудсмена) Кыргызской Республики»</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4d34og8">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8.</w:t>
            </w:r>
          </w:hyperlink>
          <w:hyperlink w:anchor="_4d34og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_4d34og8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проект конституционного Закона КР «Об Акыйкатчы (Омбудсмене) Кыргызской Республики»</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51" w:right="0" w:hanging="425"/>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spacing w:before="120" w:line="276" w:lineRule="auto"/>
        <w:ind w:left="720" w:firstLine="0"/>
        <w:rPr>
          <w:rFonts w:ascii="Cambria" w:cs="Cambria" w:eastAsia="Cambria" w:hAnsi="Cambria"/>
          <w:i w:val="1"/>
          <w:iCs w:val="1"/>
          <w:color w:val="2e75b5"/>
        </w:rPr>
      </w:pPr>
      <w:bookmarkStart w:colFirst="0" w:colLast="0" w:name="_gjdgxs" w:id="0"/>
      <w:bookmarkEnd w:id="0"/>
      <w:r w:rsidDel="00000000" w:rsidR="00000000" w:rsidRPr="00000000">
        <w:rPr>
          <w:rFonts w:ascii="Cambria" w:cs="Cambria" w:eastAsia="Cambria" w:hAnsi="Cambria"/>
          <w:i w:val="1"/>
          <w:iCs w:val="1"/>
          <w:rtl w:val="0"/>
        </w:rPr>
        <w:t xml:space="preserve">Ознакомиться со всеми предыдущими выпусками информационных бюллетеней на русском и кыргызском языках можно </w:t>
      </w:r>
      <w:hyperlink r:id="rId7">
        <w:r w:rsidDel="00000000" w:rsidR="00000000" w:rsidRPr="00000000">
          <w:rPr>
            <w:rFonts w:ascii="Cambria" w:cs="Cambria" w:eastAsia="Cambria" w:hAnsi="Cambria"/>
            <w:i w:val="1"/>
            <w:iCs w:val="1"/>
            <w:color w:val="0563c1"/>
            <w:u w:val="single"/>
            <w:rtl w:val="0"/>
          </w:rPr>
          <w:t xml:space="preserve">здесь</w:t>
        </w:r>
      </w:hyperlink>
      <w:r w:rsidDel="00000000" w:rsidR="00000000" w:rsidRPr="00000000">
        <w:rPr>
          <w:rFonts w:ascii="Cambria" w:cs="Cambria" w:eastAsia="Cambria" w:hAnsi="Cambria"/>
          <w:i w:val="1"/>
          <w:iCs w:val="1"/>
          <w:color w:val="2e75b5"/>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3"/>
        <w:numPr>
          <w:ilvl w:val="0"/>
          <w:numId w:val="1"/>
        </w:numPr>
        <w:spacing w:after="120" w:before="0" w:line="276" w:lineRule="auto"/>
        <w:ind w:left="1134" w:hanging="360"/>
        <w:jc w:val="both"/>
        <w:rPr/>
      </w:pPr>
      <w:bookmarkStart w:colFirst="0" w:colLast="0" w:name="_30j0zll" w:id="1"/>
      <w:bookmarkEnd w:id="1"/>
      <w:r w:rsidDel="00000000" w:rsidR="00000000" w:rsidRPr="00000000">
        <w:rPr>
          <w:rFonts w:ascii="Cambria" w:cs="Cambria" w:eastAsia="Cambria" w:hAnsi="Cambria"/>
          <w:sz w:val="22"/>
          <w:szCs w:val="22"/>
          <w:rtl w:val="0"/>
        </w:rPr>
        <w:t xml:space="preserve">Инициирован проект Положения о принципах открытости и подотчетности органов местного самоуправления перед местным сообществом</w:t>
      </w:r>
    </w:p>
    <w:p w:rsidR="00000000" w:rsidDel="00000000" w:rsidP="00000000" w:rsidRDefault="00000000" w:rsidRPr="00000000" w14:paraId="00000011">
      <w:pPr>
        <w:spacing w:after="120" w:line="276" w:lineRule="auto"/>
        <w:ind w:firstLine="70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15 октября 2024 г. в Едином портале общественного обсуждения проектов нормативных правовых актов КР (далее – Единый портал) на общественное обсуждение был вынесен проект Постановления Кабинета Министров «Об утверждении Положения о едином критерии и принципах подотчетности и открытости органов местного самоуправления перед местным сообществом» (далее - проект постановления).</w:t>
      </w:r>
    </w:p>
    <w:p w:rsidR="00000000" w:rsidDel="00000000" w:rsidP="00000000" w:rsidRDefault="00000000" w:rsidRPr="00000000" w14:paraId="00000012">
      <w:pPr>
        <w:spacing w:after="120" w:line="276" w:lineRule="auto"/>
        <w:ind w:firstLine="70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проект постановления разработан в целях реализации пункта 196 Плана действий Кабинета Министров КР на 2024 год, утвержденного распоряжением Кабинета Министров от 24 января 2024 года № 14. Пункт 196 данного Плана предусматривает разработку проектов нормативных правовых актов (НПА), предусматривающих единые критерии и принципы подотчетности и открытости органов местного самоуправления (далее – МСУ) перед местным сообществом.</w:t>
      </w:r>
    </w:p>
    <w:p w:rsidR="00000000" w:rsidDel="00000000" w:rsidP="00000000" w:rsidRDefault="00000000" w:rsidRPr="00000000" w14:paraId="00000013">
      <w:pPr>
        <w:spacing w:after="120" w:line="276" w:lineRule="auto"/>
        <w:ind w:firstLine="706"/>
        <w:jc w:val="both"/>
        <w:rPr>
          <w:rFonts w:ascii="Cambria" w:cs="Cambria" w:eastAsia="Cambria" w:hAnsi="Cambria"/>
          <w:b w:val="1"/>
          <w:bCs w:val="1"/>
          <w:sz w:val="22"/>
          <w:szCs w:val="22"/>
        </w:rPr>
      </w:pPr>
      <w:r w:rsidDel="00000000" w:rsidR="00000000" w:rsidRPr="00000000">
        <w:rPr>
          <w:rFonts w:ascii="Cambria" w:cs="Cambria" w:eastAsia="Cambria" w:hAnsi="Cambria"/>
          <w:sz w:val="22"/>
          <w:szCs w:val="22"/>
          <w:rtl w:val="0"/>
        </w:rPr>
        <w:t xml:space="preserve">Проект Положения определяет принципы подотчетности, открытости, критерии подотчетности органов МСУ перед местным сообществом и способы обеспечения права местного сообщества на доступ к информации.</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проекта постановления и сопроводительными документами к нему можно </w:t>
      </w:r>
      <w:hyperlink r:id="rId8">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Представители ОГО и другие заинтересованные лица могут направить свои предложения и комментарии по проекту постановления через Единый портал до 20 ноября 2024 г.</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6"/>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3"/>
        <w:numPr>
          <w:ilvl w:val="0"/>
          <w:numId w:val="1"/>
        </w:numPr>
        <w:spacing w:after="120" w:before="0" w:line="276" w:lineRule="auto"/>
        <w:ind w:left="1134" w:hanging="360"/>
        <w:jc w:val="both"/>
        <w:rPr/>
      </w:pPr>
      <w:bookmarkStart w:colFirst="0" w:colLast="0" w:name="_1fob9te" w:id="2"/>
      <w:bookmarkEnd w:id="2"/>
      <w:r w:rsidDel="00000000" w:rsidR="00000000" w:rsidRPr="00000000">
        <w:rPr>
          <w:rFonts w:ascii="Cambria" w:cs="Cambria" w:eastAsia="Cambria" w:hAnsi="Cambria"/>
          <w:sz w:val="22"/>
          <w:szCs w:val="22"/>
          <w:rtl w:val="0"/>
        </w:rPr>
        <w:t xml:space="preserve">Проект Закона об ответственности за оскорбление и клевету принят в первом чтении</w:t>
      </w:r>
    </w:p>
    <w:p w:rsidR="00000000" w:rsidDel="00000000" w:rsidP="00000000" w:rsidRDefault="00000000" w:rsidRPr="00000000" w14:paraId="00000017">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ранее упоминалось в Информационном бюллетене №59 от 25 июля 2024 г., на сайте Жогорку Кенеша была опубликована обновленная версия проекта Закона «О внесении изменений в Кодекс Кыргызской Республики о правонарушениях» (далее – законопроект), инициатором которого выступает Кабинет Министров. Законопроект предусматривает ужесточение ответственности за оскорбление и клевету. В частности, предлагается ответственность в виде штрафа в размере 1 000</w:t>
      </w:r>
      <w:r w:rsidDel="00000000" w:rsidR="00000000" w:rsidRPr="00000000">
        <w:rPr>
          <w:rFonts w:ascii="Cambria" w:cs="Cambria" w:eastAsia="Cambria" w:hAnsi="Cambria"/>
          <w:b w:val="1"/>
          <w:bCs w:val="1"/>
          <w:sz w:val="22"/>
          <w:szCs w:val="22"/>
          <w:rtl w:val="0"/>
        </w:rPr>
        <w:t xml:space="preserve"> </w:t>
      </w:r>
      <w:r w:rsidDel="00000000" w:rsidR="00000000" w:rsidRPr="00000000">
        <w:rPr>
          <w:rFonts w:ascii="Cambria" w:cs="Cambria" w:eastAsia="Cambria" w:hAnsi="Cambria"/>
          <w:sz w:val="22"/>
          <w:szCs w:val="22"/>
          <w:rtl w:val="0"/>
        </w:rPr>
        <w:t xml:space="preserve">расчетных показателей (</w:t>
      </w:r>
      <w:r w:rsidDel="00000000" w:rsidR="00000000" w:rsidRPr="00000000">
        <w:rPr>
          <w:rFonts w:ascii="Cambria" w:cs="Cambria" w:eastAsia="Cambria" w:hAnsi="Cambria"/>
          <w:b w:val="1"/>
          <w:bCs w:val="1"/>
          <w:sz w:val="22"/>
          <w:szCs w:val="22"/>
          <w:rtl w:val="0"/>
        </w:rPr>
        <w:t xml:space="preserve">100 000 сомов</w:t>
      </w:r>
      <w:r w:rsidDel="00000000" w:rsidR="00000000" w:rsidRPr="00000000">
        <w:rPr>
          <w:rFonts w:ascii="Cambria" w:cs="Cambria" w:eastAsia="Cambria" w:hAnsi="Cambria"/>
          <w:sz w:val="22"/>
          <w:szCs w:val="22"/>
          <w:rtl w:val="0"/>
        </w:rPr>
        <w:t xml:space="preserve">) для физических лиц и 2 000 расчетных показателей (</w:t>
      </w:r>
      <w:r w:rsidDel="00000000" w:rsidR="00000000" w:rsidRPr="00000000">
        <w:rPr>
          <w:rFonts w:ascii="Cambria" w:cs="Cambria" w:eastAsia="Cambria" w:hAnsi="Cambria"/>
          <w:b w:val="1"/>
          <w:bCs w:val="1"/>
          <w:sz w:val="22"/>
          <w:szCs w:val="22"/>
          <w:rtl w:val="0"/>
        </w:rPr>
        <w:t xml:space="preserve">200 000 сомов</w:t>
      </w:r>
      <w:r w:rsidDel="00000000" w:rsidR="00000000" w:rsidRPr="00000000">
        <w:rPr>
          <w:rFonts w:ascii="Cambria" w:cs="Cambria" w:eastAsia="Cambria" w:hAnsi="Cambria"/>
          <w:sz w:val="22"/>
          <w:szCs w:val="22"/>
          <w:rtl w:val="0"/>
        </w:rPr>
        <w:t xml:space="preserve">) для юридических лиц за оскорбление, то есть </w:t>
      </w:r>
      <w:r w:rsidDel="00000000" w:rsidR="00000000" w:rsidRPr="00000000">
        <w:rPr>
          <w:rFonts w:ascii="Cambria" w:cs="Cambria" w:eastAsia="Cambria" w:hAnsi="Cambria"/>
          <w:i w:val="1"/>
          <w:iCs w:val="1"/>
          <w:sz w:val="22"/>
          <w:szCs w:val="22"/>
          <w:rtl w:val="0"/>
        </w:rPr>
        <w:t xml:space="preserve">умышленное унижение чести и достоинства другого лица, выраженное в неприличной форме, содержащееся в средствах массовой информации, на сайте в сети Интернет или на странице сайта в сети Интернет</w:t>
      </w:r>
      <w:r w:rsidDel="00000000" w:rsidR="00000000" w:rsidRPr="00000000">
        <w:rPr>
          <w:rFonts w:ascii="Cambria" w:cs="Cambria" w:eastAsia="Cambria" w:hAnsi="Cambria"/>
          <w:sz w:val="22"/>
          <w:szCs w:val="22"/>
          <w:rtl w:val="0"/>
        </w:rPr>
        <w:t xml:space="preserve">. Такие же суммы штрафов предлагается применять к физическим и юридическим лицам за клевету, то есть </w:t>
      </w:r>
      <w:r w:rsidDel="00000000" w:rsidR="00000000" w:rsidRPr="00000000">
        <w:rPr>
          <w:rFonts w:ascii="Cambria" w:cs="Cambria" w:eastAsia="Cambria" w:hAnsi="Cambria"/>
          <w:i w:val="1"/>
          <w:iCs w:val="1"/>
          <w:sz w:val="22"/>
          <w:szCs w:val="22"/>
          <w:rtl w:val="0"/>
        </w:rPr>
        <w:t xml:space="preserve">распространение заведомо ложных сведений, порочащих честь и достоинство другого лица или подрывающих его репутацию, содержащуюся в средствах массовой информации, на сайте в сети Интернет или на странице сайта в сети Интернет</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18">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законопроект был разработан </w:t>
      </w:r>
      <w:r w:rsidDel="00000000" w:rsidR="00000000" w:rsidRPr="00000000">
        <w:rPr>
          <w:rFonts w:ascii="Cambria" w:cs="Cambria" w:eastAsia="Cambria" w:hAnsi="Cambria"/>
          <w:i w:val="1"/>
          <w:iCs w:val="1"/>
          <w:sz w:val="22"/>
          <w:szCs w:val="22"/>
          <w:rtl w:val="0"/>
        </w:rPr>
        <w:t xml:space="preserve">в целях защиты законных интересов потерпевшего и обеспечение справедливости в рамках правовой системы</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19">
      <w:pPr>
        <w:spacing w:line="276" w:lineRule="auto"/>
        <w:ind w:firstLine="720"/>
        <w:jc w:val="both"/>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23 октября 2024 г. Жогорку Кенеш </w:t>
      </w:r>
      <w:hyperlink r:id="rId9">
        <w:r w:rsidDel="00000000" w:rsidR="00000000" w:rsidRPr="00000000">
          <w:rPr>
            <w:rFonts w:ascii="Cambria" w:cs="Cambria" w:eastAsia="Cambria" w:hAnsi="Cambria"/>
            <w:color w:val="0563c1"/>
            <w:sz w:val="22"/>
            <w:szCs w:val="22"/>
            <w:u w:val="single"/>
            <w:rtl w:val="0"/>
          </w:rPr>
          <w:t xml:space="preserve">принял</w:t>
        </w:r>
      </w:hyperlink>
      <w:r w:rsidDel="00000000" w:rsidR="00000000" w:rsidRPr="00000000">
        <w:rPr>
          <w:rFonts w:ascii="Cambria" w:cs="Cambria" w:eastAsia="Cambria" w:hAnsi="Cambria"/>
          <w:sz w:val="22"/>
          <w:szCs w:val="22"/>
          <w:rtl w:val="0"/>
        </w:rPr>
        <w:t xml:space="preserve"> законопроект в первом чтении.  </w:t>
      </w:r>
      <w:r w:rsidDel="00000000" w:rsidR="00000000" w:rsidRPr="00000000">
        <w:rPr>
          <w:rFonts w:ascii="Cambria" w:cs="Cambria" w:eastAsia="Cambria" w:hAnsi="Cambria"/>
          <w:color w:val="000000"/>
          <w:sz w:val="22"/>
          <w:szCs w:val="22"/>
          <w:rtl w:val="0"/>
        </w:rPr>
        <w:t xml:space="preserve">Ознакомиться с текстом законопроекта, а также с сопроводительными документами к нему можно </w:t>
      </w:r>
      <w:hyperlink r:id="rId10">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color w:val="000000"/>
          <w:sz w:val="22"/>
          <w:szCs w:val="22"/>
          <w:rtl w:val="0"/>
        </w:rPr>
        <w:t xml:space="preserve">. </w:t>
      </w:r>
    </w:p>
    <w:p w:rsidR="00000000" w:rsidDel="00000000" w:rsidP="00000000" w:rsidRDefault="00000000" w:rsidRPr="00000000" w14:paraId="0000001A">
      <w:pPr>
        <w:pStyle w:val="Heading3"/>
        <w:numPr>
          <w:ilvl w:val="0"/>
          <w:numId w:val="1"/>
        </w:numPr>
        <w:spacing w:after="120" w:before="0" w:line="276" w:lineRule="auto"/>
        <w:ind w:left="1134" w:hanging="360"/>
        <w:jc w:val="both"/>
        <w:rPr/>
      </w:pPr>
      <w:bookmarkStart w:colFirst="0" w:colLast="0" w:name="_3znysh7" w:id="3"/>
      <w:bookmarkEnd w:id="3"/>
      <w:r w:rsidDel="00000000" w:rsidR="00000000" w:rsidRPr="00000000">
        <w:rPr>
          <w:rFonts w:ascii="Cambria" w:cs="Cambria" w:eastAsia="Cambria" w:hAnsi="Cambria"/>
          <w:sz w:val="22"/>
          <w:szCs w:val="22"/>
          <w:rtl w:val="0"/>
        </w:rPr>
        <w:t xml:space="preserve">Инициирован проект Предпринимательского кодекса КР</w:t>
      </w:r>
    </w:p>
    <w:p w:rsidR="00000000" w:rsidDel="00000000" w:rsidP="00000000" w:rsidRDefault="00000000" w:rsidRPr="00000000" w14:paraId="0000001B">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17 октября 2024 г. в Едином портале для общественного обсуждения был опубликован проект Закона КР «О введении в действие Предпринимательского кодекса Кыргызской Республики» (далее – проект кодекса), инициатором которого выступает Кабинет Министров.</w:t>
      </w:r>
    </w:p>
    <w:p w:rsidR="00000000" w:rsidDel="00000000" w:rsidP="00000000" w:rsidRDefault="00000000" w:rsidRPr="00000000" w14:paraId="0000001C">
      <w:pPr>
        <w:spacing w:after="120" w:line="276" w:lineRule="auto"/>
        <w:ind w:firstLine="720"/>
        <w:jc w:val="both"/>
        <w:rPr>
          <w:rFonts w:ascii="Cambria" w:cs="Cambria" w:eastAsia="Cambria" w:hAnsi="Cambria"/>
          <w:i w:val="1"/>
          <w:iCs w:val="1"/>
          <w:sz w:val="22"/>
          <w:szCs w:val="22"/>
        </w:rPr>
      </w:pPr>
      <w:r w:rsidDel="00000000" w:rsidR="00000000" w:rsidRPr="00000000">
        <w:rPr>
          <w:rFonts w:ascii="Cambria" w:cs="Cambria" w:eastAsia="Cambria" w:hAnsi="Cambria"/>
          <w:sz w:val="22"/>
          <w:szCs w:val="22"/>
          <w:rtl w:val="0"/>
        </w:rPr>
        <w:t xml:space="preserve">Согласно справке-обоснованию, целью проекта кодекса является </w:t>
      </w:r>
      <w:r w:rsidDel="00000000" w:rsidR="00000000" w:rsidRPr="00000000">
        <w:rPr>
          <w:rFonts w:ascii="Cambria" w:cs="Cambria" w:eastAsia="Cambria" w:hAnsi="Cambria"/>
          <w:i w:val="1"/>
          <w:iCs w:val="1"/>
          <w:sz w:val="22"/>
          <w:szCs w:val="22"/>
          <w:rtl w:val="0"/>
        </w:rPr>
        <w:t xml:space="preserve">обеспечение единообразия подходов государства к регулированию предпринимательской деятельности, обеспечение прозрачности процесса регулирования, консолидация норм законодательства, регулирующего предпринимательскую сферу, обеспечение активного вовлечения бизнес-сектора в формирование регулятивной среды предпринимательской сферы.</w:t>
      </w:r>
    </w:p>
    <w:p w:rsidR="00000000" w:rsidDel="00000000" w:rsidP="00000000" w:rsidRDefault="00000000" w:rsidRPr="00000000" w14:paraId="0000001D">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i w:val="1"/>
          <w:iCs w:val="1"/>
          <w:sz w:val="22"/>
          <w:szCs w:val="22"/>
          <w:rtl w:val="0"/>
        </w:rPr>
        <w:t xml:space="preserve">«Не нарушая существующей иерархии нормативных правовых актов, а также учитывая отраслевое законодательство, законопроект призван объединить нормы права в сфере взаимодействия субъектов предпринимательства и государства, в том числе по государственному регулированию и поддержке предпринимательства, которые в настоящее время включены в разные законы» - </w:t>
      </w:r>
      <w:r w:rsidDel="00000000" w:rsidR="00000000" w:rsidRPr="00000000">
        <w:rPr>
          <w:rFonts w:ascii="Cambria" w:cs="Cambria" w:eastAsia="Cambria" w:hAnsi="Cambria"/>
          <w:sz w:val="22"/>
          <w:szCs w:val="22"/>
          <w:rtl w:val="0"/>
        </w:rPr>
        <w:t xml:space="preserve">отмечается в справке-обосновании к законопроекту.</w:t>
      </w:r>
    </w:p>
    <w:p w:rsidR="00000000" w:rsidDel="00000000" w:rsidP="00000000" w:rsidRDefault="00000000" w:rsidRPr="00000000" w14:paraId="0000001E">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Проектом кодекса предлагается определить:</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цели, инструменты и условия введения государственного регулирования сферы предпринимательства, в частности принятия новых НПА, содержащих такие инструменты;</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базовые правила регистрации различных форм предпринимательской деятельности (юридических лиц, индивидуальных предпринимателей, иностранных предпринимателей);</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категории предпринимателей, права предпринимателей и их объединений;</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единые критерии определения категорий субъектов предпринимательства (малого, среднего, крупного) для различных государственных целей;</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понятия «женского» и «молодежного» предпринимательства, «социального предпринимательства» и «социальной ответственности бизнеса»,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обязательность участия бизнеса в подготовке правовой базы предпринимательской деятельности и создания площадок государственно-частного диалога во всех ветвях власти государства;</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правовые основы создания организаций, основанных на принципах саморегулирования;</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формы защиты прав субъектов предпринимательства, обязанности государственных органов и органов МСУ в данной сфере, а также ответственность государственных органов и их должностных лиц;</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роль Торгово-промышленной палаты и Уполномоченного по защите прав субъектов предпринимательской деятельности (Бизнес-омбудсмена);</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 другие положения.</w:t>
      </w:r>
    </w:p>
    <w:p w:rsidR="00000000" w:rsidDel="00000000" w:rsidP="00000000" w:rsidRDefault="00000000" w:rsidRPr="00000000" w14:paraId="00000029">
      <w:pPr>
        <w:spacing w:after="120" w:line="276" w:lineRule="auto"/>
        <w:ind w:firstLine="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отмечается в анализе регулятивного воздействия к проекту кодекса, принятие проекта кодекса будет способствовать созданию режима максимального благоприятствования для развития предпринимательства. Субъекты предпринимательства приобретут единство направлений и инструментов регулирования предпринимательской деятельности, что будет способствовать улучшению бизнес-среды и росту деловой активности.</w:t>
      </w:r>
    </w:p>
    <w:p w:rsidR="00000000" w:rsidDel="00000000" w:rsidP="00000000" w:rsidRDefault="00000000" w:rsidRPr="00000000" w14:paraId="0000002A">
      <w:pPr>
        <w:spacing w:line="276" w:lineRule="auto"/>
        <w:ind w:firstLine="35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текстом проекта кодекса и сопроводительными документами к нему можно </w:t>
      </w:r>
      <w:hyperlink r:id="rId11">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Представители ОГО и другие заинтересованные лица могут направить свои предложения и комментарии по проекту через Единый портал до 15 ноября 2024 г.</w:t>
      </w:r>
    </w:p>
    <w:p w:rsidR="00000000" w:rsidDel="00000000" w:rsidP="00000000" w:rsidRDefault="00000000" w:rsidRPr="00000000" w14:paraId="0000002B">
      <w:pPr>
        <w:spacing w:line="276" w:lineRule="auto"/>
        <w:ind w:firstLine="357"/>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C">
      <w:pPr>
        <w:pStyle w:val="Heading3"/>
        <w:numPr>
          <w:ilvl w:val="0"/>
          <w:numId w:val="1"/>
        </w:numPr>
        <w:spacing w:after="120" w:before="0" w:line="276" w:lineRule="auto"/>
        <w:ind w:left="1134" w:hanging="360"/>
        <w:jc w:val="both"/>
        <w:rPr/>
      </w:pPr>
      <w:bookmarkStart w:colFirst="0" w:colLast="0" w:name="_2et92p0" w:id="4"/>
      <w:bookmarkEnd w:id="4"/>
      <w:r w:rsidDel="00000000" w:rsidR="00000000" w:rsidRPr="00000000">
        <w:rPr>
          <w:rFonts w:ascii="Cambria" w:cs="Cambria" w:eastAsia="Cambria" w:hAnsi="Cambria"/>
          <w:sz w:val="22"/>
          <w:szCs w:val="22"/>
          <w:rtl w:val="0"/>
        </w:rPr>
        <w:t xml:space="preserve">Инициирован проект Закона, направленный на улучшение миграционной ситуации</w:t>
      </w:r>
    </w:p>
    <w:p w:rsidR="00000000" w:rsidDel="00000000" w:rsidP="00000000" w:rsidRDefault="00000000" w:rsidRPr="00000000" w14:paraId="0000002D">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25 октября 2024 г. в Едином портале для общественного обсуждения был опубликован проект Закона КР «О внесении изменений в некоторые законодательные акты Кыргызской Республики (в Кодекс Кыргызской Республики о детях, Кодекс Кыргызской Республики о правонарушениях, законы Кыргызской Республики «О государственной поддержке малого предпринимательства», «О меценатстве и благотворительной деятельности») (далее – законопроект). Инициатором законопроекта является Кабинета Министров.</w:t>
      </w:r>
    </w:p>
    <w:p w:rsidR="00000000" w:rsidDel="00000000" w:rsidP="00000000" w:rsidRDefault="00000000" w:rsidRPr="00000000" w14:paraId="0000002E">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законопроект разработан </w:t>
      </w:r>
      <w:r w:rsidDel="00000000" w:rsidR="00000000" w:rsidRPr="00000000">
        <w:rPr>
          <w:rFonts w:ascii="Cambria" w:cs="Cambria" w:eastAsia="Cambria" w:hAnsi="Cambria"/>
          <w:i w:val="1"/>
          <w:iCs w:val="1"/>
          <w:sz w:val="22"/>
          <w:szCs w:val="22"/>
          <w:rtl w:val="0"/>
        </w:rPr>
        <w:t xml:space="preserve">во исполнение пункта 2 Указа Президента КР «О принятии мер, направленных на улучшение миграционной ситуации» от 29 января 2021 года № 4, пунктов  35 и 743 Плана мероприятий Кабинета Министров по реализации Национальной программы развития Кыргызской Республики до 2026 года, утвержденного постановлением Кабинета Министров от 25 декабря 2021 года № 352.</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2F">
      <w:pPr>
        <w:spacing w:after="120" w:line="276" w:lineRule="auto"/>
        <w:ind w:left="36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Законопроектом предлагается:</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включить в Кодекс КР о детях понятие «дети трудовых мигрантов»;</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усилить ответственность родителей, выезжающих в трудовую миграцию, с оставлением своих детей без определения опекунов и попечителей и без уведомления об этом органов опеки и попечительства, а также ответственность опекунов и попечителей за невыполнение взятых обязательств;</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включить в Закон КР «О государственной поддержке малого предпринимательства» понятия «социальное предпринимательство», «социальное предприятие»;</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 Законе КР «О меценатстве и благотворительной деятельности»:</w:t>
      </w:r>
    </w:p>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180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предусмотреть норму о благотворительной помощи в период эпидемии;</w:t>
      </w:r>
    </w:p>
    <w:p w:rsidR="00000000" w:rsidDel="00000000" w:rsidP="00000000" w:rsidRDefault="00000000" w:rsidRPr="00000000" w14:paraId="0000003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180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определить, что наличные денежные средства, собранные с помощью ящика для сбора благотворительных пожертвований, относятся к источникам формирования имущества благотворительной организации;</w:t>
      </w:r>
    </w:p>
    <w:p w:rsidR="00000000" w:rsidDel="00000000" w:rsidP="00000000" w:rsidRDefault="00000000" w:rsidRPr="00000000" w14:paraId="0000003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180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установить, что информация об имуществе, полученном путем пожертвования и сумме, собранной с помощью ящика для сбора благотворительных пожертвований, подлежит опубликованию в интернет-ресурсе;</w:t>
      </w:r>
    </w:p>
    <w:p w:rsidR="00000000" w:rsidDel="00000000" w:rsidP="00000000" w:rsidRDefault="00000000" w:rsidRPr="00000000" w14:paraId="0000003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180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установить, что в случае проведения публичных кампаний по сбору пожертвований, благотворительная организация обязана ежегодно публиковать отчет о размерах привлеченных пожертвований и об их использовании не только в официальных печатных изданиях, но и на веб-страницах благотворительной организации, «Интернет-ресурсе».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и сопроводительными документами к нему можно </w:t>
      </w:r>
      <w:hyperlink r:id="rId12">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Представители ОГО и другие заинтересованные лица могут направить свои предложения и комментарии по данному законопроекту через Единый портал до 24 ноября 2024 г.</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pStyle w:val="Heading3"/>
        <w:numPr>
          <w:ilvl w:val="0"/>
          <w:numId w:val="1"/>
        </w:numPr>
        <w:spacing w:after="120" w:before="0" w:line="276" w:lineRule="auto"/>
        <w:ind w:left="1134" w:hanging="360"/>
        <w:jc w:val="both"/>
        <w:rPr/>
      </w:pPr>
      <w:bookmarkStart w:colFirst="0" w:colLast="0" w:name="_tyjcwt" w:id="5"/>
      <w:bookmarkEnd w:id="5"/>
      <w:r w:rsidDel="00000000" w:rsidR="00000000" w:rsidRPr="00000000">
        <w:rPr>
          <w:rFonts w:ascii="Cambria" w:cs="Cambria" w:eastAsia="Cambria" w:hAnsi="Cambria"/>
          <w:sz w:val="22"/>
          <w:szCs w:val="22"/>
          <w:rtl w:val="0"/>
        </w:rPr>
        <w:t xml:space="preserve">Состоялись парламентские общественные слушания по проекту новой редакции Трудового кодекса КР</w:t>
      </w:r>
    </w:p>
    <w:p w:rsidR="00000000" w:rsidDel="00000000" w:rsidP="00000000" w:rsidRDefault="00000000" w:rsidRPr="00000000" w14:paraId="0000003B">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28 октября 2024 г. </w:t>
      </w:r>
      <w:hyperlink r:id="rId13">
        <w:r w:rsidDel="00000000" w:rsidR="00000000" w:rsidRPr="00000000">
          <w:rPr>
            <w:rFonts w:ascii="Cambria" w:cs="Cambria" w:eastAsia="Cambria" w:hAnsi="Cambria"/>
            <w:color w:val="0563c1"/>
            <w:sz w:val="22"/>
            <w:szCs w:val="22"/>
            <w:u w:val="single"/>
            <w:rtl w:val="0"/>
          </w:rPr>
          <w:t xml:space="preserve">состоялись</w:t>
        </w:r>
      </w:hyperlink>
      <w:r w:rsidDel="00000000" w:rsidR="00000000" w:rsidRPr="00000000">
        <w:rPr>
          <w:rFonts w:ascii="Cambria" w:cs="Cambria" w:eastAsia="Cambria" w:hAnsi="Cambria"/>
          <w:sz w:val="22"/>
          <w:szCs w:val="22"/>
          <w:rtl w:val="0"/>
        </w:rPr>
        <w:t xml:space="preserve"> парламентские общественные слушания по проектам нового Трудового кодекса КР (проект нового ТК) и Закона КР «О введении в действие Трудового кодекса КР и внесении изменений в некоторые законодательные акты КР в сфере труда» (далее – законопроект).</w:t>
      </w:r>
    </w:p>
    <w:p w:rsidR="00000000" w:rsidDel="00000000" w:rsidP="00000000" w:rsidRDefault="00000000" w:rsidRPr="00000000" w14:paraId="0000003C">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мы информировали вас ранее, 9 октября 2024 г. Жогорку Кенеш принял проекты нового ТК и законопроекта в первом чтении, основные положения которых были изложены в </w:t>
      </w:r>
      <w:hyperlink r:id="rId14">
        <w:r w:rsidDel="00000000" w:rsidR="00000000" w:rsidRPr="00000000">
          <w:rPr>
            <w:rFonts w:ascii="Cambria" w:cs="Cambria" w:eastAsia="Cambria" w:hAnsi="Cambria"/>
            <w:color w:val="0563c1"/>
            <w:sz w:val="22"/>
            <w:szCs w:val="22"/>
            <w:u w:val="single"/>
            <w:rtl w:val="0"/>
          </w:rPr>
          <w:t xml:space="preserve">Информационном бюллетене №53</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3D">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В ходе парламентских общественных слушаний первый заместитель министра труда, социального обеспечения и миграции Мухтарбек Баймурзаев отметил, что проект нового ТК разработан в целях достижения баланса интересов работников и работодателей.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текстами проекта нового ТК и законопроекта, а также с сопроводительными документами к ним можно </w:t>
      </w:r>
      <w:hyperlink r:id="rId15">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3"/>
        <w:numPr>
          <w:ilvl w:val="0"/>
          <w:numId w:val="1"/>
        </w:numPr>
        <w:spacing w:after="120" w:before="0" w:line="276" w:lineRule="auto"/>
        <w:ind w:left="1134" w:hanging="360"/>
        <w:jc w:val="both"/>
        <w:rPr/>
      </w:pPr>
      <w:bookmarkStart w:colFirst="0" w:colLast="0" w:name="_3dy6vkm" w:id="6"/>
      <w:bookmarkEnd w:id="6"/>
      <w:r w:rsidDel="00000000" w:rsidR="00000000" w:rsidRPr="00000000">
        <w:rPr>
          <w:rFonts w:ascii="Cambria" w:cs="Cambria" w:eastAsia="Cambria" w:hAnsi="Cambria"/>
          <w:sz w:val="22"/>
          <w:szCs w:val="22"/>
          <w:rtl w:val="0"/>
        </w:rPr>
        <w:t xml:space="preserve">Профильный комитет Жогорку Кенеша одобрил проект Цифрового кодекса КР</w:t>
      </w:r>
    </w:p>
    <w:p w:rsidR="00000000" w:rsidDel="00000000" w:rsidP="00000000" w:rsidRDefault="00000000" w:rsidRPr="00000000" w14:paraId="00000041">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29 октября 2024 г. Комитет по транспорту, коммуникациям, архитектуре и строительству </w:t>
      </w:r>
      <w:hyperlink r:id="rId16">
        <w:r w:rsidDel="00000000" w:rsidR="00000000" w:rsidRPr="00000000">
          <w:rPr>
            <w:rFonts w:ascii="Cambria" w:cs="Cambria" w:eastAsia="Cambria" w:hAnsi="Cambria"/>
            <w:color w:val="0563c1"/>
            <w:sz w:val="22"/>
            <w:szCs w:val="22"/>
            <w:u w:val="single"/>
            <w:rtl w:val="0"/>
          </w:rPr>
          <w:t xml:space="preserve">рассмотрел и одобрил</w:t>
        </w:r>
      </w:hyperlink>
      <w:r w:rsidDel="00000000" w:rsidR="00000000" w:rsidRPr="00000000">
        <w:rPr>
          <w:rFonts w:ascii="Cambria" w:cs="Cambria" w:eastAsia="Cambria" w:hAnsi="Cambria"/>
          <w:sz w:val="22"/>
          <w:szCs w:val="22"/>
          <w:rtl w:val="0"/>
        </w:rPr>
        <w:t xml:space="preserve"> проекты Цифрового кодекса КР и Закона «О внесении изменений в некоторые законодательные акты Кыргызской Республики в связи с принятием Цифрового кодекса Кыргызской Республики» для их принятия парламентом в первом чтении.</w:t>
      </w:r>
    </w:p>
    <w:p w:rsidR="00000000" w:rsidDel="00000000" w:rsidP="00000000" w:rsidRDefault="00000000" w:rsidRPr="00000000" w14:paraId="00000042">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известно, 19 июня 2024 г. на сайте Жогорку Кенеша был зарегистрирован проект Цифрового кодекса КР, инициатором которого является Кабинета Министров.</w:t>
      </w:r>
    </w:p>
    <w:p w:rsidR="00000000" w:rsidDel="00000000" w:rsidP="00000000" w:rsidRDefault="00000000" w:rsidRPr="00000000" w14:paraId="00000043">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основной целью проекта Кодекса является </w:t>
      </w:r>
      <w:r w:rsidDel="00000000" w:rsidR="00000000" w:rsidRPr="00000000">
        <w:rPr>
          <w:rFonts w:ascii="Cambria" w:cs="Cambria" w:eastAsia="Cambria" w:hAnsi="Cambria"/>
          <w:i w:val="1"/>
          <w:iCs w:val="1"/>
          <w:sz w:val="22"/>
          <w:szCs w:val="22"/>
          <w:rtl w:val="0"/>
        </w:rPr>
        <w:t xml:space="preserve">создание благоприятных правовых условий для защиты и реализации прав и свобод человека и гражданина в цифровом пространстве, развития цифровой экономики Кыргызской Республики, а также повышение инвестиционной привлекательности страны</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44">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Структурно проект Цифрового кодекса состоит из Общей и Особенной частей. Положения Общей части Кодекса закладывают основы цифрового права как новой отрасли законодательства. Особенная часть включает разделы, посвященные регулированию разных видов цифровых данных (персональных данных; больших данных, включая их использование технологиями искусственного интеллекта и робототехники, пространственных данных); цифровых сервисов (в том числе государственных и муниципальных сервисов, сервисов цифрового благополучия); доверенных сервисов (включая сервисы и системы идентификации, сервисы цифровой подписи и цифровых документов); цифровых технологических систем, включая телекоммуникационные сети и системы искусственного интеллекта.</w:t>
      </w:r>
    </w:p>
    <w:p w:rsidR="00000000" w:rsidDel="00000000" w:rsidP="00000000" w:rsidRDefault="00000000" w:rsidRPr="00000000" w14:paraId="00000045">
      <w:pPr>
        <w:spacing w:after="120" w:line="276" w:lineRule="auto"/>
        <w:ind w:firstLine="720"/>
        <w:jc w:val="both"/>
        <w:rPr>
          <w:rFonts w:ascii="Cambria" w:cs="Cambria" w:eastAsia="Cambria" w:hAnsi="Cambria"/>
          <w:i w:val="1"/>
          <w:iCs w:val="1"/>
          <w:sz w:val="22"/>
          <w:szCs w:val="22"/>
        </w:rPr>
      </w:pPr>
      <w:r w:rsidDel="00000000" w:rsidR="00000000" w:rsidRPr="00000000">
        <w:rPr>
          <w:rFonts w:ascii="Cambria" w:cs="Cambria" w:eastAsia="Cambria" w:hAnsi="Cambria"/>
          <w:sz w:val="22"/>
          <w:szCs w:val="22"/>
          <w:rtl w:val="0"/>
        </w:rPr>
        <w:t xml:space="preserve">В соответствии с Концепцией проекта Цифрового кодекса КР, </w:t>
      </w:r>
      <w:hyperlink r:id="rId17">
        <w:r w:rsidDel="00000000" w:rsidR="00000000" w:rsidRPr="00000000">
          <w:rPr>
            <w:rFonts w:ascii="Cambria" w:cs="Cambria" w:eastAsia="Cambria" w:hAnsi="Cambria"/>
            <w:color w:val="0563c1"/>
            <w:sz w:val="22"/>
            <w:szCs w:val="22"/>
            <w:u w:val="single"/>
            <w:rtl w:val="0"/>
          </w:rPr>
          <w:t xml:space="preserve">размещенной</w:t>
        </w:r>
      </w:hyperlink>
      <w:r w:rsidDel="00000000" w:rsidR="00000000" w:rsidRPr="00000000">
        <w:rPr>
          <w:rFonts w:ascii="Cambria" w:cs="Cambria" w:eastAsia="Cambria" w:hAnsi="Cambria"/>
          <w:sz w:val="22"/>
          <w:szCs w:val="22"/>
          <w:rtl w:val="0"/>
        </w:rPr>
        <w:t xml:space="preserve"> на сайте ОФ «Гражданская Инициатива Интернет Политики»</w:t>
      </w:r>
      <w:r w:rsidDel="00000000" w:rsidR="00000000" w:rsidRPr="00000000">
        <w:rPr>
          <w:rtl w:val="0"/>
        </w:rPr>
        <w:t xml:space="preserve">, п</w:t>
      </w:r>
      <w:r w:rsidDel="00000000" w:rsidR="00000000" w:rsidRPr="00000000">
        <w:rPr>
          <w:rFonts w:ascii="Cambria" w:cs="Cambria" w:eastAsia="Cambria" w:hAnsi="Cambria"/>
          <w:sz w:val="22"/>
          <w:szCs w:val="22"/>
          <w:rtl w:val="0"/>
        </w:rPr>
        <w:t xml:space="preserve">роект Цифрового кодекса КР </w:t>
      </w:r>
      <w:r w:rsidDel="00000000" w:rsidR="00000000" w:rsidRPr="00000000">
        <w:rPr>
          <w:rFonts w:ascii="Cambria" w:cs="Cambria" w:eastAsia="Cambria" w:hAnsi="Cambria"/>
          <w:i w:val="1"/>
          <w:iCs w:val="1"/>
          <w:sz w:val="22"/>
          <w:szCs w:val="22"/>
          <w:rtl w:val="0"/>
        </w:rPr>
        <w:t xml:space="preserve">является результатом масштабного анализа отраслей законодательства Кыргызской Республики и изучения лучших мировых практик цифровой среды.</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i w:val="1"/>
          <w:iCs w:val="1"/>
          <w:sz w:val="22"/>
          <w:szCs w:val="22"/>
          <w:rtl w:val="0"/>
        </w:rPr>
        <w:t xml:space="preserve">Принятие проекта Цифрового кодекса КР, объединяющего правовое регулирование и систематизацию всего технологического законодательства, позволит сформировать благоприятную нормативную правовую среду, которая заложит основы для развития цифровой экономики в КР. Результаты успешной реализации этой задачи положительно скажутся на темпах экономического роста, улучшат оказание услуг государством и частным сектором, приведут к созданию более благоприятного инвестиционного климата.</w:t>
      </w:r>
    </w:p>
    <w:p w:rsidR="00000000" w:rsidDel="00000000" w:rsidP="00000000" w:rsidRDefault="00000000" w:rsidRPr="00000000" w14:paraId="00000046">
      <w:pP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проектом Цифрового кодекса КР и сопроводительными документами к нему можно </w:t>
      </w:r>
      <w:hyperlink r:id="rId18">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47">
      <w:pPr>
        <w:spacing w:after="120" w:line="276" w:lineRule="auto"/>
        <w:ind w:firstLine="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8">
      <w:pPr>
        <w:pStyle w:val="Heading3"/>
        <w:numPr>
          <w:ilvl w:val="0"/>
          <w:numId w:val="1"/>
        </w:numPr>
        <w:spacing w:after="120" w:before="0" w:line="276" w:lineRule="auto"/>
        <w:ind w:left="1134" w:hanging="360"/>
        <w:jc w:val="both"/>
        <w:rPr/>
      </w:pPr>
      <w:bookmarkStart w:colFirst="0" w:colLast="0" w:name="_1t3h5sf" w:id="7"/>
      <w:bookmarkEnd w:id="7"/>
      <w:r w:rsidDel="00000000" w:rsidR="00000000" w:rsidRPr="00000000">
        <w:rPr>
          <w:rFonts w:ascii="Cambria" w:cs="Cambria" w:eastAsia="Cambria" w:hAnsi="Cambria"/>
          <w:sz w:val="22"/>
          <w:szCs w:val="22"/>
          <w:rtl w:val="0"/>
        </w:rPr>
        <w:t xml:space="preserve">Инициирован проект Закона КР «О внесении изменений в некоторые законодательные акты по вопросам деятельности Акыйкатчы (Омбудсмена) Кыргызской Республики»</w:t>
      </w:r>
    </w:p>
    <w:p w:rsidR="00000000" w:rsidDel="00000000" w:rsidP="00000000" w:rsidRDefault="00000000" w:rsidRPr="00000000" w14:paraId="00000049">
      <w:pPr>
        <w:spacing w:after="120" w:line="276" w:lineRule="auto"/>
        <w:ind w:firstLine="720"/>
        <w:jc w:val="both"/>
        <w:rPr/>
      </w:pPr>
      <w:r w:rsidDel="00000000" w:rsidR="00000000" w:rsidRPr="00000000">
        <w:rPr>
          <w:rFonts w:ascii="Cambria" w:cs="Cambria" w:eastAsia="Cambria" w:hAnsi="Cambria"/>
          <w:sz w:val="22"/>
          <w:szCs w:val="22"/>
          <w:rtl w:val="0"/>
        </w:rPr>
        <w:t xml:space="preserve">30 октября 2024 г. на сайте Жогорку Кенеша для общественного обсуждения был опубликован проект Закона КР «О внесении изменений в некоторые законодательные акты по вопросам деятельности Акыйкатчы (Омбудсмена) Кыргызской Республики». Инициаторами законопроекта являются депутаты Жогорку Кенеша КР Сыдыков Б., Сатыбалдиев Э.Р. и Маткеримов А.Т.</w:t>
      </w:r>
      <w:r w:rsidDel="00000000" w:rsidR="00000000" w:rsidRPr="00000000">
        <w:rPr>
          <w:rtl w:val="0"/>
        </w:rPr>
      </w:r>
    </w:p>
    <w:p w:rsidR="00000000" w:rsidDel="00000000" w:rsidP="00000000" w:rsidRDefault="00000000" w:rsidRPr="00000000" w14:paraId="0000004A">
      <w:pPr>
        <w:spacing w:after="120" w:line="276" w:lineRule="auto"/>
        <w:jc w:val="both"/>
        <w:rPr>
          <w:rFonts w:ascii="Cambria" w:cs="Cambria" w:eastAsia="Cambria" w:hAnsi="Cambria"/>
          <w:i w:val="1"/>
          <w:iCs w:val="1"/>
          <w:sz w:val="22"/>
          <w:szCs w:val="22"/>
        </w:rPr>
      </w:pPr>
      <w:r w:rsidDel="00000000" w:rsidR="00000000" w:rsidRPr="00000000">
        <w:rPr>
          <w:rFonts w:ascii="Cambria" w:cs="Cambria" w:eastAsia="Cambria" w:hAnsi="Cambria"/>
          <w:sz w:val="22"/>
          <w:szCs w:val="22"/>
          <w:rtl w:val="0"/>
        </w:rPr>
        <w:tab/>
        <w:t xml:space="preserve">Согласно справке-обоснованию, целью и задачами законопроекта является </w:t>
      </w:r>
      <w:r w:rsidDel="00000000" w:rsidR="00000000" w:rsidRPr="00000000">
        <w:rPr>
          <w:rFonts w:ascii="Cambria" w:cs="Cambria" w:eastAsia="Cambria" w:hAnsi="Cambria"/>
          <w:i w:val="1"/>
          <w:iCs w:val="1"/>
          <w:sz w:val="22"/>
          <w:szCs w:val="22"/>
          <w:rtl w:val="0"/>
        </w:rPr>
        <w:t xml:space="preserve">устранение существующих правовых коллизий между Законом КР «Об Акыйкатчы (Омбудсмене) Кыргызской Республики» и некоторыми другими НПА Кыргызской Республики, регулирующими полномочия Акыйкатчы (Омбудсмена).</w:t>
      </w:r>
    </w:p>
    <w:p w:rsidR="00000000" w:rsidDel="00000000" w:rsidP="00000000" w:rsidRDefault="00000000" w:rsidRPr="00000000" w14:paraId="0000004B">
      <w:pPr>
        <w:spacing w:after="120" w:line="276"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Законопроектом предлагается:</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в Кодексе КР о правонарушениях:</w:t>
      </w:r>
    </w:p>
    <w:p w:rsidR="00000000" w:rsidDel="00000000" w:rsidP="00000000" w:rsidRDefault="00000000" w:rsidRPr="00000000" w14:paraId="0000004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дополнить часть 7 статьи 502 пунктом 3, согласно которому Акыйкатчы, его заместители, а также уполномоченные им сотрудники Аппарата Акыйкатчы не могут выступать в качестве свидетеля об обстоятельствах, ставших им известными в связи с исполнением своих служебных полномочий.</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в Уголовно-процессуальном кодексе КР:</w:t>
      </w:r>
    </w:p>
    <w:p w:rsidR="00000000" w:rsidDel="00000000" w:rsidP="00000000" w:rsidRDefault="00000000" w:rsidRPr="00000000" w14:paraId="0000004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дополнить часть 4 статьи 55 пунктом 10, согласно которому Акыйкатчы, его заместители, а также уполномоченные им сотрудники Аппарата Акыйкатчы не подлежат допросу в качестве свидетелей об обстоятельствах, ставших им известными в связи с исполнением своих полномочий;</w:t>
      </w:r>
    </w:p>
    <w:p w:rsidR="00000000" w:rsidDel="00000000" w:rsidP="00000000" w:rsidRDefault="00000000" w:rsidRPr="00000000" w14:paraId="0000005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дополнить новой главой 7-1 следующего содержания:</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«Глава 7-1. Акыйкатчы (Омбудсмен) Кыргызской Республики в уголовном судопроизводстве</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Статья 61-1.  Присутствие Акыйкатчы (Омбудсмена) Кыргызской Республики на судебных заседаниях</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Акыйкатчы (Омбудсмен) Кыргызской Республики, его заместители, а также уполномоченные им сотрудники Аппарата Акыйкатчы (Омбудсмена) Кыргызской Республики вправе присутствовать на заседаниях судов всех инстанций, в том числе на закрытых судебных заседаниях, при условии согласия лица, в интересах которого судебное разбирательство объявлено закрытым.</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Статья 61-2. Ознакомление Акыйкатчы (Омбудсмена) Кыргызской Республики с материалами уголовного судопроизводства</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Акыйкатчы (Омбудсмен) Кыргызской Республики, его заместители, а также уполномоченные им сотрудники Аппарата Акыйкатчы (Омбудсмена) Кыргызской Республики вправе знакомиться в суде с уголовными делами, решения (приговоры) по которым вступили в законную силу, а также с прекращенными производством делами и материалами, по которым отказано в возбуждении уголовных дел, с последующим снятием с них копий.»;</w:t>
      </w:r>
    </w:p>
    <w:p w:rsidR="00000000" w:rsidDel="00000000" w:rsidP="00000000" w:rsidRDefault="00000000" w:rsidRPr="00000000" w14:paraId="0000005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 статье 291 предусмотреть положения, согласно которым лица, указанные в статье 61-1 (см. выше) допускаются в зал судебного заседания при разбирательстве уголовного дела в закрытом заседании;</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в Гражданском процессуальном кодексе КР и в Административно-процессуальном кодексе КР:</w:t>
      </w:r>
    </w:p>
    <w:p w:rsidR="00000000" w:rsidDel="00000000" w:rsidP="00000000" w:rsidRDefault="00000000" w:rsidRPr="00000000" w14:paraId="000000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предусмотреть статьи аналогичные статьям 61–1 и 61-2 предлагаемые в Уголовно-процессуальный кодекс КР (см. выше);</w:t>
      </w:r>
    </w:p>
    <w:p w:rsidR="00000000" w:rsidDel="00000000" w:rsidP="00000000" w:rsidRDefault="00000000" w:rsidRPr="00000000" w14:paraId="0000005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предусмотреть положения, согласно которым Акыйкатчы, его заместители, а также уполномоченные им сотрудники Аппарата Акыйкатчы вправе отказаться от дачи свидетельских показаний об обстоятельствах, ставших им известными в связи с исполнением своих полномочий;</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в Законе КР «О банках и банковской деятельности»:</w:t>
      </w:r>
    </w:p>
    <w:p w:rsidR="00000000" w:rsidDel="00000000" w:rsidP="00000000" w:rsidRDefault="00000000" w:rsidRPr="00000000" w14:paraId="0000005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часть 3 статьи 67 дополнить пунктом 6, согласно которому Акыйкатчы, уполномоченный им сотрудник Аппарата Акыйкатчы при проведении проверки по принятому обращению имеют право получать с банков информацию, составляющую банковскую тайну;</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в Законе КР «О государственной регистрации прав на недвижимое имущество и сделок с ним»:</w:t>
      </w:r>
    </w:p>
    <w:p w:rsidR="00000000" w:rsidDel="00000000" w:rsidP="00000000" w:rsidRDefault="00000000" w:rsidRPr="00000000" w14:paraId="0000005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статью 24 дополнить частью 9, согласно которому орган, осуществляющий государственную регистрацию прав на недвижимое имущество и сделок с ним, обязан предоставлять Акыйкатчы информацию о зарегистрированных правах на единицу недвижимого имущества по его письменному запросу на безвозмездной основе;</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в Законе КР «О порядке и условиях содержания под стражей лиц, задержанных по подозрению и обвинению в совершении преступлений»:</w:t>
      </w:r>
    </w:p>
    <w:p w:rsidR="00000000" w:rsidDel="00000000" w:rsidP="00000000" w:rsidRDefault="00000000" w:rsidRPr="00000000" w14:paraId="0000005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предусмотреть положения о наделении заместителей Акыйкатчы и уполномоченных им сотрудников Аппарата Акыйкатчы правом посещения мест содержания под стражей подозреваемых и обвиняемых без специального на то разрешения;</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в Законе КР «О коммерческой тайне»:</w:t>
      </w:r>
    </w:p>
    <w:p w:rsidR="00000000" w:rsidDel="00000000" w:rsidP="00000000" w:rsidRDefault="00000000" w:rsidRPr="00000000" w14:paraId="0000006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предусмотреть положения о наделении Акыйкатчы и его заместителей правом в пределах своей компетенции на основании письменного запроса знакомиться со сведениями, являющимися коммерческой тайной.</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и сопроводительными документами к нему можно </w:t>
      </w:r>
      <w:hyperlink r:id="rId19">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Представители ОГО и другие заинтересованные лица могут направить свои предложения и комментарии по законопроекту на электронную почту: </w:t>
      </w:r>
      <w:hyperlink r:id="rId20">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seyil24@mail.ru</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а также по телефону: +996 312 63 89 07.</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pStyle w:val="Heading3"/>
        <w:numPr>
          <w:ilvl w:val="0"/>
          <w:numId w:val="1"/>
        </w:numPr>
        <w:spacing w:after="120" w:before="0" w:line="276" w:lineRule="auto"/>
        <w:ind w:left="1134" w:hanging="360"/>
        <w:jc w:val="both"/>
        <w:rPr/>
      </w:pPr>
      <w:bookmarkStart w:colFirst="0" w:colLast="0" w:name="_4d34og8" w:id="8"/>
      <w:bookmarkEnd w:id="8"/>
      <w:r w:rsidDel="00000000" w:rsidR="00000000" w:rsidRPr="00000000">
        <w:rPr>
          <w:rFonts w:ascii="Cambria" w:cs="Cambria" w:eastAsia="Cambria" w:hAnsi="Cambria"/>
          <w:sz w:val="22"/>
          <w:szCs w:val="22"/>
          <w:rtl w:val="0"/>
        </w:rPr>
        <w:t xml:space="preserve">Инициирован проект конституционного Закона КР «Об Акыйкатчы (Омбудсмене) Кыргызской Республики»</w:t>
      </w:r>
    </w:p>
    <w:p w:rsidR="00000000" w:rsidDel="00000000" w:rsidP="00000000" w:rsidRDefault="00000000" w:rsidRPr="00000000" w14:paraId="00000065">
      <w:pPr>
        <w:spacing w:after="120" w:line="276" w:lineRule="auto"/>
        <w:ind w:firstLine="706"/>
        <w:jc w:val="both"/>
        <w:rPr/>
      </w:pPr>
      <w:r w:rsidDel="00000000" w:rsidR="00000000" w:rsidRPr="00000000">
        <w:rPr>
          <w:rFonts w:ascii="Cambria" w:cs="Cambria" w:eastAsia="Cambria" w:hAnsi="Cambria"/>
          <w:sz w:val="22"/>
          <w:szCs w:val="22"/>
          <w:rtl w:val="0"/>
        </w:rPr>
        <w:t xml:space="preserve">30 октября 2024 г. на сайте Жогорку Кенеша для общественного обсуждения был опубликован проект Закона КР «Об Акыйкатчы (Омбудсмене) Кыргызской Республики». Инициаторами законопроекта являются депутаты Жогорку Кенеша КР Сыдыков Б., Сатыбалдиев Э.Р. и Маткеримов А.Т.</w:t>
      </w:r>
      <w:r w:rsidDel="00000000" w:rsidR="00000000" w:rsidRPr="00000000">
        <w:rPr>
          <w:rtl w:val="0"/>
        </w:rPr>
      </w:r>
    </w:p>
    <w:p w:rsidR="00000000" w:rsidDel="00000000" w:rsidP="00000000" w:rsidRDefault="00000000" w:rsidRPr="00000000" w14:paraId="00000066">
      <w:pPr>
        <w:spacing w:after="120" w:line="276" w:lineRule="auto"/>
        <w:ind w:firstLine="706"/>
        <w:jc w:val="both"/>
        <w:rPr>
          <w:rFonts w:ascii="Cambria" w:cs="Cambria" w:eastAsia="Cambria" w:hAnsi="Cambria"/>
          <w:i w:val="1"/>
          <w:iCs w:val="1"/>
          <w:sz w:val="22"/>
          <w:szCs w:val="22"/>
        </w:rPr>
      </w:pPr>
      <w:r w:rsidDel="00000000" w:rsidR="00000000" w:rsidRPr="00000000">
        <w:rPr>
          <w:rFonts w:ascii="Cambria" w:cs="Cambria" w:eastAsia="Cambria" w:hAnsi="Cambria"/>
          <w:sz w:val="22"/>
          <w:szCs w:val="22"/>
          <w:rtl w:val="0"/>
        </w:rPr>
        <w:tab/>
        <w:t xml:space="preserve">Согласно справке-обоснованию, </w:t>
      </w:r>
      <w:r w:rsidDel="00000000" w:rsidR="00000000" w:rsidRPr="00000000">
        <w:rPr>
          <w:rFonts w:ascii="Cambria" w:cs="Cambria" w:eastAsia="Cambria" w:hAnsi="Cambria"/>
          <w:i w:val="1"/>
          <w:iCs w:val="1"/>
          <w:sz w:val="22"/>
          <w:szCs w:val="22"/>
          <w:rtl w:val="0"/>
        </w:rPr>
        <w:t xml:space="preserve">законопроект разработан в целях обеспечения прав и свобод человека и гражданина в КР, предусмотренных в Конституции КР, а также приведения его в соответствие  с положениями статей 23-65, 109, 110 Конституции КР и соответствующими международными стандартами в области прав и свобод человека. </w:t>
      </w:r>
    </w:p>
    <w:p w:rsidR="00000000" w:rsidDel="00000000" w:rsidP="00000000" w:rsidRDefault="00000000" w:rsidRPr="00000000" w14:paraId="00000067">
      <w:pPr>
        <w:spacing w:after="120" w:line="276" w:lineRule="auto"/>
        <w:ind w:firstLine="706"/>
        <w:jc w:val="both"/>
        <w:rPr>
          <w:rFonts w:ascii="Cambria" w:cs="Cambria" w:eastAsia="Cambria" w:hAnsi="Cambria"/>
          <w:sz w:val="22"/>
          <w:szCs w:val="22"/>
        </w:rPr>
      </w:pPr>
      <w:r w:rsidDel="00000000" w:rsidR="00000000" w:rsidRPr="00000000">
        <w:rPr>
          <w:rFonts w:ascii="Cambria" w:cs="Cambria" w:eastAsia="Cambria" w:hAnsi="Cambria"/>
          <w:i w:val="1"/>
          <w:iCs w:val="1"/>
          <w:sz w:val="22"/>
          <w:szCs w:val="22"/>
          <w:rtl w:val="0"/>
        </w:rPr>
        <w:t xml:space="preserve">«За основу проекта конституционного Закона был взят действующий Закон Кыргызской Республики «Об Омбудсмене (Акыйкатчы) Кыргызской Республики». Необходимость разработки проекта конституционного Закона также возникла в связи с имеющимися противоречиями в нормах действующего Закона Кыргызской Республики «Об Омбудсмене (Акыйкатчы) Кыргызской Республики» и иными НПА Кыргызской Республики, которые выявлены в результате практики применения действующего Закона в течение 20 лет»</w:t>
      </w:r>
      <w:r w:rsidDel="00000000" w:rsidR="00000000" w:rsidRPr="00000000">
        <w:rPr>
          <w:rFonts w:ascii="Cambria" w:cs="Cambria" w:eastAsia="Cambria" w:hAnsi="Cambria"/>
          <w:sz w:val="22"/>
          <w:szCs w:val="22"/>
          <w:rtl w:val="0"/>
        </w:rPr>
        <w:t xml:space="preserve"> - отмечается в справке-обосновании к законопроекту.</w:t>
      </w:r>
    </w:p>
    <w:p w:rsidR="00000000" w:rsidDel="00000000" w:rsidP="00000000" w:rsidRDefault="00000000" w:rsidRPr="00000000" w14:paraId="00000068">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Законопроектом предлагается:</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определить порядок организации деятельности, сферу компетенции, порядок избрания и освобождения от должности Акыйкатчы, заместителей Акыйкатчы, полномочия и гарантии независимости, правовой статус, организационные основы, меры правовой защиты Акыйкатчы, заместителей Акыйкатчы и Аппарата Акыйкатчы, а также их взаимоотношения с государственными органами и иными организациями;</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исключить положение, предусматривающее досрочное освобождение от должности Акыйкатчы за неодобрение доклада;</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предусмотреть положение, согласно которому Акыйкатчы и его заместители не вправе состоять в политических партиях, выступать в поддержку или против какой-либо политической партии или иного общественного объединения, преследующего политические цели;</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предусмотреть положение о том, что бюджетные средства, выделяемые Институту Акыйкатчы, должны быть достаточными для обеспечения полного, независимого и эффективного выполнения им своих обязанностей и функций;</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предусмотреть порядок и механизмы защиты прав участников судопроизводства, дающие возможность Акыйкатчы дополнительно обеспечить и защитить процессуальные права участников судопроизводства, в том числе по случаю незаконных действий оперативных работников, следственных подразделений и судебных органов;</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установить ответственность за вмешательство или воспрепятствование в какой бы то ни было форме реализации полномочий Акыйкатчы, заместителей Акыйкатчы и сотрудников Аппарата Акыйкатчы, предусмотренных нормативными правовыми актами КР, регулирующими деятельность Акыйкатчы и Аппарата Акыйкатчы, а равно незаконное вмешательство в их деятельность по осуществлению ими парламентского контроля за соблюдением конституционных прав и свобод человека и гражданина;</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закрепить право Акыйкатчы на доступ к материалам уголовных, гражданских, административных дел и дел о правонарушениях, находящихся в производстве, а также к прекращённым делам и материалам, по которым было отказано в возбуждении уголовных дел с возможностью снимать копии этих материалов для дальнейшего использования в целях правовой защиты и осуществлению парламентского контроля;</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 другие положения.</w:t>
      </w:r>
    </w:p>
    <w:p w:rsidR="00000000" w:rsidDel="00000000" w:rsidP="00000000" w:rsidRDefault="00000000" w:rsidRPr="00000000" w14:paraId="00000071">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i w:val="1"/>
          <w:iCs w:val="1"/>
          <w:sz w:val="22"/>
          <w:szCs w:val="22"/>
          <w:rtl w:val="0"/>
        </w:rPr>
        <w:t xml:space="preserve">«Принятие проекта закона даст возможность институту Омбудсмена подать заявку для аккредитации из статуса «В» в статус «А». Кыргызстан будет первой среди стран Центральной Азии, которая подала такую заявку, что положительно отразится на имидже государства и будет способствовать развитию государства как в правовом, так и в экономическом русле, а также обеспечению верховенства права»,</w:t>
      </w:r>
      <w:r w:rsidDel="00000000" w:rsidR="00000000" w:rsidRPr="00000000">
        <w:rPr>
          <w:rFonts w:ascii="Cambria" w:cs="Cambria" w:eastAsia="Cambria" w:hAnsi="Cambria"/>
          <w:sz w:val="22"/>
          <w:szCs w:val="22"/>
          <w:rtl w:val="0"/>
        </w:rPr>
        <w:t xml:space="preserve"> - </w:t>
      </w:r>
      <w:hyperlink r:id="rId21">
        <w:r w:rsidDel="00000000" w:rsidR="00000000" w:rsidRPr="00000000">
          <w:rPr>
            <w:rFonts w:ascii="Cambria" w:cs="Cambria" w:eastAsia="Cambria" w:hAnsi="Cambria"/>
            <w:color w:val="0563c1"/>
            <w:sz w:val="22"/>
            <w:szCs w:val="22"/>
            <w:u w:val="single"/>
            <w:rtl w:val="0"/>
          </w:rPr>
          <w:t xml:space="preserve">объяснила Акыйкатчы Джамиля Джаманбаева</w:t>
        </w:r>
      </w:hyperlink>
      <w:r w:rsidDel="00000000" w:rsidR="00000000" w:rsidRPr="00000000">
        <w:rPr>
          <w:rFonts w:ascii="Cambria" w:cs="Cambria" w:eastAsia="Cambria" w:hAnsi="Cambria"/>
          <w:sz w:val="22"/>
          <w:szCs w:val="22"/>
          <w:rtl w:val="0"/>
        </w:rPr>
        <w:t xml:space="preserve"> предлагаемые изменения в законодательстве.</w:t>
      </w:r>
    </w:p>
    <w:p w:rsidR="00000000" w:rsidDel="00000000" w:rsidP="00000000" w:rsidRDefault="00000000" w:rsidRPr="00000000" w14:paraId="00000072">
      <w:pPr>
        <w:spacing w:after="120" w:line="276" w:lineRule="auto"/>
        <w:ind w:firstLine="709"/>
        <w:jc w:val="both"/>
        <w:rPr>
          <w:rFonts w:ascii="Cambria" w:cs="Cambria" w:eastAsia="Cambria" w:hAnsi="Cambria"/>
          <w:i w:val="1"/>
          <w:iCs w:val="1"/>
          <w:sz w:val="22"/>
          <w:szCs w:val="22"/>
        </w:rPr>
      </w:pPr>
      <w:bookmarkStart w:colFirst="0" w:colLast="0" w:name="_2s8eyo1" w:id="9"/>
      <w:bookmarkEnd w:id="9"/>
      <w:r w:rsidDel="00000000" w:rsidR="00000000" w:rsidRPr="00000000">
        <w:rPr>
          <w:rFonts w:ascii="Cambria" w:cs="Cambria" w:eastAsia="Cambria" w:hAnsi="Cambria"/>
          <w:sz w:val="22"/>
          <w:szCs w:val="22"/>
          <w:rtl w:val="0"/>
        </w:rPr>
        <w:t xml:space="preserve">Как отмечается в справке-обосновании, </w:t>
      </w:r>
      <w:r w:rsidDel="00000000" w:rsidR="00000000" w:rsidRPr="00000000">
        <w:rPr>
          <w:rFonts w:ascii="Cambria" w:cs="Cambria" w:eastAsia="Cambria" w:hAnsi="Cambria"/>
          <w:i w:val="1"/>
          <w:iCs w:val="1"/>
          <w:sz w:val="22"/>
          <w:szCs w:val="22"/>
          <w:rtl w:val="0"/>
        </w:rPr>
        <w:t xml:space="preserve">«представленный проект конституционного Закона предусматривает полное соответствие Парижским принципам. В настоящее время в статусе «В» Акыйкатчы участвует только в собраниях Глобального альянса национальных правозащитных учреждений, но не может голосовать или занимать руководящие должности.  В целях достижения статуса «А», в проекте заложены принципиальные механизмы. Благодаря которым в будущем институт Акыйкатчы будет иметь широкие права и возможности для участия в Совете по правам человека, поскольку после получения аккредитации по статусу «А», Акыйкатчы будет иметь право участвовать во всех заседаниях Совета по правам человека, выступать с устными заявлениями лично или по видеосвязи. Также, со статусом «А»  будет возможность отслеживать и сообщать о ситуации с правами человека и гражданина в своей стране и  оказывать помощь своему государству выполнять свои международные обязательства в области прав человека и гражданина и консультировать по внедрению международных стандартов в области прав человека и гражданина на национальном уровне».</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и сопроводительными документами к нему можно </w:t>
      </w:r>
      <w:hyperlink r:id="rId22">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Представители ОГО и другие заинтересованные лица могут направить свои предложения и комментарии по законопроекту на электронную почту: </w:t>
      </w:r>
      <w:hyperlink r:id="rId23">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seyil24@mail.ru</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а также по телефону: +996 312 63 89 07.</w:t>
      </w:r>
    </w:p>
    <w:sectPr>
      <w:footerReference r:id="rId24" w:type="default"/>
      <w:footerReference r:id="rId25" w:type="first"/>
      <w:pgSz w:h="15840" w:w="12240" w:orient="portrait"/>
      <w:pgMar w:bottom="567" w:top="1135" w:left="1418" w:right="9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rFonts w:ascii="Cambria" w:cs="Cambria" w:eastAsia="Cambria" w:hAnsi="Cambria"/>
        <w:b w:val="0"/>
        <w:bCs w:val="0"/>
        <w:i w:val="0"/>
        <w:iCs w:val="0"/>
        <w:color w:val="2f5496"/>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20" Type="http://schemas.openxmlformats.org/officeDocument/2006/relationships/hyperlink" Target="mailto:seyil24@mail.ru" TargetMode="External"/><Relationship Id="rId22" Type="http://schemas.openxmlformats.org/officeDocument/2006/relationships/hyperlink" Target="https://kenesh.kg/bills/public/3407" TargetMode="External"/><Relationship Id="rId21" Type="http://schemas.openxmlformats.org/officeDocument/2006/relationships/hyperlink" Target="https://kaktus.media/doc/487306_chto_meniaetsia_v_zakone_ob_ombydsmene_kr.html" TargetMode="External"/><Relationship Id="rId24" Type="http://schemas.openxmlformats.org/officeDocument/2006/relationships/footer" Target="footer1.xml"/><Relationship Id="rId23" Type="http://schemas.openxmlformats.org/officeDocument/2006/relationships/hyperlink" Target="mailto:seyil24@mail.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enesh.kg/ru/posts/10743"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drive/folders/1-5tEYinurA_IN1omsKJ9Xanlj_Pd-bn4?usp=drive_link" TargetMode="External"/><Relationship Id="rId8" Type="http://schemas.openxmlformats.org/officeDocument/2006/relationships/hyperlink" Target="http://koomtalkuu.gov.kg/ru/view-npa/4270" TargetMode="External"/><Relationship Id="rId11" Type="http://schemas.openxmlformats.org/officeDocument/2006/relationships/hyperlink" Target="http://koomtalkuu.gov.kg/ru/view-npa/4277" TargetMode="External"/><Relationship Id="rId10" Type="http://schemas.openxmlformats.org/officeDocument/2006/relationships/hyperlink" Target="https://kenesh.kg/bills/655631" TargetMode="External"/><Relationship Id="rId13" Type="http://schemas.openxmlformats.org/officeDocument/2006/relationships/hyperlink" Target="https://kenesh.kg/ru/posts/10822" TargetMode="External"/><Relationship Id="rId12" Type="http://schemas.openxmlformats.org/officeDocument/2006/relationships/hyperlink" Target="http://koomtalkuu.gov.kg/ru/view-npa/4305" TargetMode="External"/><Relationship Id="rId15" Type="http://schemas.openxmlformats.org/officeDocument/2006/relationships/hyperlink" Target="https://kenesh.kg/bills/651733" TargetMode="External"/><Relationship Id="rId14" Type="http://schemas.openxmlformats.org/officeDocument/2006/relationships/hyperlink" Target="https://docs.google.com/document/d/1JAIaDgPuPYfsqtmUjrJ6hniXdn-vfO-t/edit?usp=sharing&amp;ouid=106297453833104951749&amp;rtpof=true&amp;sd=true" TargetMode="External"/><Relationship Id="rId17" Type="http://schemas.openxmlformats.org/officeDocument/2006/relationships/hyperlink" Target="https://internetpolicy.kg/2023/04/10/proekt-cifrovoj-kodeks-uspeshno-zavershen/" TargetMode="External"/><Relationship Id="rId16" Type="http://schemas.openxmlformats.org/officeDocument/2006/relationships/hyperlink" Target="https://kenesh.kg/ru/posts/10830" TargetMode="External"/><Relationship Id="rId19" Type="http://schemas.openxmlformats.org/officeDocument/2006/relationships/hyperlink" Target="https://kenesh.kg/bills/public/3406" TargetMode="External"/><Relationship Id="rId18" Type="http://schemas.openxmlformats.org/officeDocument/2006/relationships/hyperlink" Target="https://kenesh.kg/bills/65389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6b36a958e77e425c7cd55351a1eb62c8c09a3e93cf1c21db09815d22f502bdad</vt:lpwstr>
  </property>
</Properties>
</file>