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66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30 ноября 2024 года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158372790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Инициированы законопроекты для обеспечения гендерного равноправия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 проект Закона КР «О творческих союзах Кыргызской Республики»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В Кодекс КР о правонарушениях включены меры ответственности за нарушение требований законодательства о страховании гражданской ответственности работодателя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Профильный комитет парламента одобрил поправки в некоторые законодательные акты Кыргызской Республики в сфере налогообложения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4d34og8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Профильный комитет одобрил законопроект об ответственности за оскорбление и клевету</w:t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2s8eyo1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_2s8eyo1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Жогорку Кенеш вернул проект новой редакции Трудового кодекса КР в ответственный комитет</w:t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_17dp8vu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Жогорку Кенеш принял во втором чтении проект Закона КР «О внесении изменений в некоторые законодательные акты Кыргызской Республики в сфере доступа к информации»</w:t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851" w:right="0" w:hanging="425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spacing w:before="120" w:line="276" w:lineRule="auto"/>
        <w:ind w:left="720" w:firstLine="0"/>
        <w:rPr>
          <w:rFonts w:ascii="Cambria" w:cs="Cambria" w:eastAsia="Cambria" w:hAnsi="Cambria"/>
          <w:i w:val="1"/>
          <w:iCs w:val="1"/>
          <w:color w:val="2e75b5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Ознакомиться со всеми предыдущими выпусками информационных бюллетеней на русском и кыргызском языках можно </w:t>
      </w:r>
      <w:hyperlink r:id="rId7">
        <w:r w:rsidDel="00000000" w:rsidR="00000000" w:rsidRPr="00000000">
          <w:rPr>
            <w:rFonts w:ascii="Cambria" w:cs="Cambria" w:eastAsia="Cambria" w:hAnsi="Cambria"/>
            <w:i w:val="1"/>
            <w:iCs w:val="1"/>
            <w:color w:val="0563c1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i w:val="1"/>
          <w:iCs w:val="1"/>
          <w:color w:val="2e75b5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Инициированы законопроекты для обеспечения гендерного равноправия</w:t>
      </w:r>
    </w:p>
    <w:p w:rsidR="00000000" w:rsidDel="00000000" w:rsidP="00000000" w:rsidRDefault="00000000" w:rsidRPr="00000000" w14:paraId="00000010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18 ноября 2024 г. на сайте Жогорку Кенеша был опубликован проект конституционного Закона КР «О внесении изменений и дополнений в некоторые конституционные законы для обеспечения гендерного равноправия (в конституционные законы КР «О Совете по делам правосудия Кыргызской Республики», «О Верховном суде Кыргызской Республики и местных судах», «О Кабинете Министров Кыргызской Республики»)» (далее – проект конституционного закона) и проект Закона КР «О внесении изменений и дополнений в некоторые законодательные акты для обеспечения гендерного равноправия (в законы КР «О государственных гарантиях равных прав и равных возможностей для мужчин и женщин»,  «О Регламенте Жогорку Кенеша Кыргызской Республики», «О государственной гражданской службе и муниципальной службе», «О местной государственной администрации и органах местного самоуправления», «Об охране и защите от семейного насилия», Уголовный кодекс Кыргызской Республики, Кодекс Кыргызской Республики о правонарушениях»)» (далее – законопроект). Инициатором проекта конституционного закона и законопроекта является депутат Жогорку Кенеша Талиева К.А.</w:t>
      </w:r>
    </w:p>
    <w:p w:rsidR="00000000" w:rsidDel="00000000" w:rsidP="00000000" w:rsidRDefault="00000000" w:rsidRPr="00000000" w14:paraId="00000011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Инициатор законопроектов в справке-обосновании к законопроектам отмечает, что законопроекты разработаны в целях совершенствования правового регулирования по обеспечению гендерного равноправия в политической, социальной, экономической, культурной и иных областях жизнедеятельности человека.</w:t>
      </w:r>
    </w:p>
    <w:p w:rsidR="00000000" w:rsidDel="00000000" w:rsidP="00000000" w:rsidRDefault="00000000" w:rsidRPr="00000000" w14:paraId="00000012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Проектом конституционного закона предлагается: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исключить из конституционного Закона “О Совете по делам правосудия Кыргызской Республики” положение, которое требует соблюдения гендерного представительства при отборе судей только для тех судов, где штатная численность составляет пять и более человек. Это связано с тем, что при таком подходе судейский состав более чем двадцати местных судов, в основном расположенных в регионах, не соответствует минимальным требованиям гендерного представительства (не более 70% представителей одного пола);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внести в конституционный Закон “О Верховном суде Кыргызской Республики и местных судах” дополнение о необходимости учета гендерного представительства (не более 70 процентов лиц одного пола) в суде при осуществлении перевода (ротации) судей местных судов;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предусмотреть в конституционном Законе «О Кабинете Министров Кыргызской Республики» требование о гендерном представительстве (не более 70 процентов лиц одного пола) при формировании членов Кабинета Министров.</w:t>
      </w:r>
    </w:p>
    <w:p w:rsidR="00000000" w:rsidDel="00000000" w:rsidP="00000000" w:rsidRDefault="00000000" w:rsidRPr="00000000" w14:paraId="00000016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Вторым законопроектом предлагается дополнить Закон «О государственных гарантиях равных прав и равных возможностей для мужчин и женщин» положениями из международных договоров, участницей которых является Кыргызская Республика, в том числе некоторыми положениями из Конвенции №190 Международной организации труда, направленной на искоренение насилия и домогательств в сфере труда, которую Кыргызстан </w:t>
      </w:r>
      <w:hyperlink r:id="rId8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ратифицировал 28 февраля 2024 г.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Предлагаемые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изменения в Закон «О государственных гарантиях равных прав и равных возможностей для мужчин и женщин» для их полноценной реализации требуют внесение изменений также в другие законодательные акты: Законы КР «О Регламенте Жогорку Кенеша Кыргызской Республики», «О государственной гражданской службе и муниципальной службе», «О местной государственной администрации и органах местного самоуправления», «Об охране и защите от семейного насилия», Уголовный кодекс КР, Кодекс КР о правонарушениях.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line="276" w:lineRule="auto"/>
        <w:ind w:firstLine="720"/>
        <w:jc w:val="both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Важно отметить, что часть 1 статьи 49 Закона КР «О Регламенте Жогорку Кенеша Кыргызской Республики», касающаяся экспертизы проекта закона, предлагается дополнить абзацем шестым следующего содержания: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«Заключения по итогам правовой, правозащитной, гендерной, экологической, антикоррупционной экспертиз проектов законов публикуются на сайте Жогорку Кенеша Кыргызской Республики.».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Ознакомиться с текстами законопроектов и сопроводительными документами к ним можно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Представители ОГО и другие заинтересованные лица могут направить свои предложения и комментарии по законопроектам на электронную почту инициатора законопроектов: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a.jrust67@mail.ru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 также по телефону: +(996 312) 638 893.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Инициирован проект Закона КР «О творческих союзах Кыргызской Республики»</w:t>
      </w:r>
    </w:p>
    <w:p w:rsidR="00000000" w:rsidDel="00000000" w:rsidP="00000000" w:rsidRDefault="00000000" w:rsidRPr="00000000" w14:paraId="0000001C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18 ноября 2024 г. на сайте Жогорку Кенеша был опубликован проект Закона КР «О творческих союзах Кыргызской Республики» (далее – законопроект). Инициаторами являются депутаты Жогорку Кенеша Самыйкожо М., Кенжебаев А., Тумонбаев А.</w:t>
      </w:r>
    </w:p>
    <w:p w:rsidR="00000000" w:rsidDel="00000000" w:rsidP="00000000" w:rsidRDefault="00000000" w:rsidRPr="00000000" w14:paraId="0000001D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Законопроект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определяет правовой статус творческих работников, устанавливает правовые, социальные, экономические и организационные основы деятельности творческих союзов в области культуры, литературы, искусства.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Ранее председатель Союза писателей Кыргызской Республики Каныбек Иманалиев на заседании парламентской фракции «Ыйман нуру»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отметил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, что в стране функционируют пять профессиональных объединений, - это союзы театральных деятелей, композиторов, кинематографистов, художников и писателей.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«Мы разработали проект первого закона, в котором определены механизмы работы с Министерством культуры. Законопроект состоит из 15 статей. Мы также в законопроект включили модель использования денег, выделяемых государством творческим союзам через Министерство культуры. После принятия законопроекта пять творческих союзов разработают программу комплексного развития профессиональных объединений»,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— сказал тогда Каныбек Иманалиев.</w:t>
      </w:r>
    </w:p>
    <w:p w:rsidR="00000000" w:rsidDel="00000000" w:rsidP="00000000" w:rsidRDefault="00000000" w:rsidRPr="00000000" w14:paraId="0000001F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Однако, как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отмечается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в новостной публикации редакции информационного агентства «24.kg», законопроект имеет некоторые недостатки, в него не включены еще два творческих союза: Союз журналистов Кыргызстана (созданный в 1959 году) и Союз архитекторов КР.</w:t>
      </w:r>
    </w:p>
    <w:p w:rsidR="00000000" w:rsidDel="00000000" w:rsidP="00000000" w:rsidRDefault="00000000" w:rsidRPr="00000000" w14:paraId="00000020">
      <w:pPr>
        <w:spacing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. ОГО могут направить свои предложения и комментарии по законопроекту депутатам и комитетам парламента до рассмотрения законопроекта Жогорку Кенешем в первом чтении.</w:t>
      </w:r>
    </w:p>
    <w:p w:rsidR="00000000" w:rsidDel="00000000" w:rsidP="00000000" w:rsidRDefault="00000000" w:rsidRPr="00000000" w14:paraId="00000021">
      <w:pPr>
        <w:spacing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rtl w:val="0"/>
        </w:rPr>
        <w:t xml:space="preserve">В Кодекс КР о правонарушениях включены меры ответственности за нарушение требований законодательства о страховании гражданской ответственности работодателя</w:t>
      </w:r>
    </w:p>
    <w:p w:rsidR="00000000" w:rsidDel="00000000" w:rsidP="00000000" w:rsidRDefault="00000000" w:rsidRPr="00000000" w14:paraId="00000023">
      <w:pPr>
        <w:spacing w:after="120"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20 ноября 2024 г. вступил в силу Закон КР «О внесении изменений в Кодекс КР о правонарушениях» (далее – Закон), инициатором которого является Кабинет Министров.</w:t>
      </w:r>
    </w:p>
    <w:p w:rsidR="00000000" w:rsidDel="00000000" w:rsidP="00000000" w:rsidRDefault="00000000" w:rsidRPr="00000000" w14:paraId="00000024">
      <w:pPr>
        <w:spacing w:after="120"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Законом в Кодекс Кыргызской Республики о правонарушениях внесены следующие изменения: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8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Кодекс дополнен статьей 87-1 следующего содержания: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68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709" w:right="0" w:firstLine="709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«Статья 87-1. Нарушение требований законодательства о страховании гражданской ответственности работодателя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08" w:right="0" w:firstLine="708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Нарушение или неисполнение требований Закона Кыргызской Республики «Об обязательном страховании гражданской ответственности работодателя за причинение вреда жизни и здоровью работника при исполнении им трудовых (служебных) обязанностей,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08" w:right="0" w:firstLine="708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влечет наложение штрафа на физических лиц в размере 30 расчетных показателей, на юридических лиц в размере –130 расчетных показателей.»;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Кодекс дополнен статьей 274-1 следующего содержания: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09" w:right="0" w:firstLine="709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«Статья 274-1. Нарушение требований безопасности эксплуатации опасных производственных объектов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09" w:right="0" w:firstLine="709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Нарушение или неисполнение требований Закона Кыргызской Республики «Об обязательном страховании гражданской ответственности организаций, эксплуатирующих опасные производственные объекты»,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08" w:right="0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влечет наложение штрафа на физических лиц в размере 30 расчетных показателей, на юридических лиц – 130 расчетных показателей.».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Ознакомиться с текстом Закона можно </w:t>
      </w:r>
      <w:hyperlink r:id="rId1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Style w:val="Heading3"/>
        <w:numPr>
          <w:ilvl w:val="0"/>
          <w:numId w:val="1"/>
        </w:numPr>
        <w:spacing w:after="120" w:before="0" w:line="276" w:lineRule="auto"/>
        <w:ind w:left="1170" w:hanging="360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rtl w:val="0"/>
        </w:rPr>
        <w:t xml:space="preserve">Профильный комитет парламента одобрил поправки в некоторые законодательные акты Кыргызской Республики в сфере налогообложения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ноября 2024 г. Комитет по бюджету, экономической и фискальной политике Жогорку Кенеша рассмотрел и одобрил проект Закона «О внесении изменений в некоторые законодательные акты Кыргызской Республики в сфере налогообложения» для его принятия в первом чтении.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справке-обосновании к законопроекту отмечается, что целью законопроекта является совершенствование налогового законодательства, упрощение процедур налогового администрирования, а также создание условий для добросовестной конкуренции и сокращения теневой составляющей экономики.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Законопроект предусматривает множество изменений в Налоговый кодекс КР и ряд других нормативных правовых актов, которые более детально изложены в Сравнительной таблице к законопроекту, объем которой составляет 180 страниц. О некоторых предлагаемых законопроектом изменениях было подробно упомянуто в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Информационном бюллетене №63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Среди множества предлагаемых законопроектом изменений в некоторые законы и кодексы, есть нормы, которые после принятия законопроекта повлияют на деятельность НКО. К примеру:</w:t>
      </w:r>
    </w:p>
    <w:p w:rsidR="00000000" w:rsidDel="00000000" w:rsidP="00000000" w:rsidRDefault="00000000" w:rsidRPr="00000000" w14:paraId="00000035">
      <w:pPr>
        <w:shd w:fill="ffffff" w:val="clear"/>
        <w:spacing w:after="120" w:line="276" w:lineRule="auto"/>
        <w:ind w:firstLine="709"/>
        <w:jc w:val="both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из статьи 308 Кодекса о правонарушениях предлагается удалить часть 3, где была предусмотрена ответственность за «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нарушение сроков представления налоговых отчетов с нулевыми показателями»;</w:t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В статью «191. Льготы по подоходному налогу» Налогового кодекса КР предлагается внести следующие дополнения (они напечатаны жирным шрифтом):</w:t>
      </w:r>
    </w:p>
    <w:p w:rsidR="00000000" w:rsidDel="00000000" w:rsidP="00000000" w:rsidRDefault="00000000" w:rsidRPr="00000000" w14:paraId="00000037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«…</w:t>
      </w:r>
    </w:p>
    <w:p w:rsidR="00000000" w:rsidDel="00000000" w:rsidP="00000000" w:rsidRDefault="00000000" w:rsidRPr="00000000" w14:paraId="00000038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 Не облагаются подоходным налогом следующие доходы социально незащищенных категорий налогоплательщиков:</w:t>
      </w:r>
    </w:p>
    <w:p w:rsidR="00000000" w:rsidDel="00000000" w:rsidP="00000000" w:rsidRDefault="00000000" w:rsidRPr="00000000" w14:paraId="00000039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</w:t>
      </w:r>
    </w:p>
    <w:p w:rsidR="00000000" w:rsidDel="00000000" w:rsidP="00000000" w:rsidRDefault="00000000" w:rsidRPr="00000000" w14:paraId="0000003A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rtl w:val="0"/>
        </w:rPr>
        <w:t xml:space="preserve">2) доходы нетрудоспособных граждан, членов малообеспеченных и малоимущих семей, полученные в виде денежных средств и имущества от профсоюзных органов,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некоммерческих организаций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;</w:t>
      </w:r>
    </w:p>
    <w:p w:rsidR="00000000" w:rsidDel="00000000" w:rsidP="00000000" w:rsidRDefault="00000000" w:rsidRPr="00000000" w14:paraId="0000003B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</w:t>
      </w:r>
    </w:p>
    <w:p w:rsidR="00000000" w:rsidDel="00000000" w:rsidP="00000000" w:rsidRDefault="00000000" w:rsidRPr="00000000" w14:paraId="0000003C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Не облагается подоходным налогом следующий доход, полученный налогоплательщиком в виде:</w:t>
      </w:r>
    </w:p>
    <w:p w:rsidR="00000000" w:rsidDel="00000000" w:rsidP="00000000" w:rsidRDefault="00000000" w:rsidRPr="00000000" w14:paraId="0000003D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</w:t>
      </w:r>
    </w:p>
    <w:p w:rsidR="00000000" w:rsidDel="00000000" w:rsidP="00000000" w:rsidRDefault="00000000" w:rsidRPr="00000000" w14:paraId="0000003E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b w:val="1"/>
          <w:bCs w:val="1"/>
        </w:rPr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2) стипендии и пенсии, установленные законодательством Кыргызской Республики, а также стипендии и оплаты за обучение в Кыргызской Республике и зарубежных странах, выплачиваемые некоммерческими организациями;</w:t>
      </w:r>
    </w:p>
    <w:p w:rsidR="00000000" w:rsidDel="00000000" w:rsidP="00000000" w:rsidRDefault="00000000" w:rsidRPr="00000000" w14:paraId="0000003F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</w:t>
      </w:r>
    </w:p>
    <w:p w:rsidR="00000000" w:rsidDel="00000000" w:rsidP="00000000" w:rsidRDefault="00000000" w:rsidRPr="00000000" w14:paraId="00000040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7) гуманитарной помощи, специальные товары и детали, приобретенные из-за границы в целях поддержки людей с ограниченными возможностями;</w:t>
      </w:r>
    </w:p>
    <w:p w:rsidR="00000000" w:rsidDel="00000000" w:rsidP="00000000" w:rsidRDefault="00000000" w:rsidRPr="00000000" w14:paraId="00000041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</w:t>
      </w:r>
    </w:p>
    <w:p w:rsidR="00000000" w:rsidDel="00000000" w:rsidP="00000000" w:rsidRDefault="00000000" w:rsidRPr="00000000" w14:paraId="00000042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bookmarkStart w:colFirst="0" w:colLast="0" w:name="_1t3h5sf" w:id="7"/>
      <w:bookmarkEnd w:id="7"/>
      <w:r w:rsidDel="00000000" w:rsidR="00000000" w:rsidRPr="00000000">
        <w:rPr>
          <w:rFonts w:ascii="Cambria" w:cs="Cambria" w:eastAsia="Cambria" w:hAnsi="Cambria"/>
          <w:rtl w:val="0"/>
        </w:rPr>
        <w:t xml:space="preserve">16) стоимости услуг по организации и проведению семинара, тренинга, круглого стола,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конференции,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проводимых для их участников на безвозмездной основе, включая услуги преподавания, стоимости раздаточных материалов, питания, проживания и транспортных услуг;</w:t>
      </w:r>
    </w:p>
    <w:p w:rsidR="00000000" w:rsidDel="00000000" w:rsidP="00000000" w:rsidRDefault="00000000" w:rsidRPr="00000000" w14:paraId="00000043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…».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Предложение об освобождении расходов НКО по проведению конференций (а также семинаров, тренингов и круглых столов) было передано рабочей группе со стороны МЦНП/ICNL.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1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4d34og8" w:id="8"/>
      <w:bookmarkEnd w:id="8"/>
      <w:r w:rsidDel="00000000" w:rsidR="00000000" w:rsidRPr="00000000">
        <w:rPr>
          <w:rFonts w:ascii="Cambria" w:cs="Cambria" w:eastAsia="Cambria" w:hAnsi="Cambria"/>
          <w:rtl w:val="0"/>
        </w:rPr>
        <w:t xml:space="preserve">Профильный комитет одобрил законопроект об ответственности за оскорбление и клевету</w:t>
      </w:r>
    </w:p>
    <w:p w:rsidR="00000000" w:rsidDel="00000000" w:rsidP="00000000" w:rsidRDefault="00000000" w:rsidRPr="00000000" w14:paraId="00000048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26 ноября 2024 г. Комитет по правопорядку, борьбе с преступностью и противодействию коррупции рассмотрел и одобрил проекта Закона «О внесении изменений в Кодекс Кыргызской Республики о правонарушениях» (далее – законопроект) для его принятия во втором чтении. Инициатором законопроекта является Кабинет Министров.</w:t>
      </w:r>
    </w:p>
    <w:p w:rsidR="00000000" w:rsidDel="00000000" w:rsidP="00000000" w:rsidRDefault="00000000" w:rsidRPr="00000000" w14:paraId="00000049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Ранее 23 октября 2024 г. Жогорку Кенеш </w:t>
      </w:r>
      <w:hyperlink r:id="rId17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принял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законопроект в первом чтении. </w:t>
      </w:r>
    </w:p>
    <w:p w:rsidR="00000000" w:rsidDel="00000000" w:rsidP="00000000" w:rsidRDefault="00000000" w:rsidRPr="00000000" w14:paraId="0000004A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После принятия законопроекта в первом чтении от ряда депутатов поступили письменные предложения к законопроекту по результатам рассмотрения которых, в законопроект были внесены соответствующие изменения.</w:t>
      </w:r>
    </w:p>
    <w:p w:rsidR="00000000" w:rsidDel="00000000" w:rsidP="00000000" w:rsidRDefault="00000000" w:rsidRPr="00000000" w14:paraId="0000004B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Ранее законопроектом предлагалась ответственность в виде штрафа в размере 1 000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100 000 сомов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 для физических лиц и 2 000 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200 000 сомов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 для юридических лиц за оскорбление, то есть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умышленное унижение чести и достоинства другого лица, выраженное в неприличной форме, содержащееся в средствах массовой информации, на сайте в сети Интернет или на странице сайта в сети Интернет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Такие же суммы штрафов предлагались применять к физическим и юридическим лицам за клевету, то есть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распространение заведомо ложных сведений, порочащих честь и достоинство другого лица или подрывающих его репутацию, содержащуюся в средствах массовой информации, на сайте в сети Интернет или на странице сайта в сети Интернет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 настоящее время, сумма штрафа для физических лиц в законопроекте снижена с 1 000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100 000 сомов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 на 200 расчетных показателей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(20 000 сомов)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а для юридических лиц с 2 000 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200 000 сомов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 на 650 расчетных показателей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(65 000 сомов)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Кроме того, уполномоченный орган, рассматривающий дела о правонарушениях и налагающий взыскания за вышеуказанные правонарушения в законопроекте изменен с «уполномоченного органа в сфере средств массовой информации» на «органы внутренних дел».</w:t>
      </w:r>
    </w:p>
    <w:p w:rsidR="00000000" w:rsidDel="00000000" w:rsidP="00000000" w:rsidRDefault="00000000" w:rsidRPr="00000000" w14:paraId="0000004E">
      <w:pPr>
        <w:spacing w:line="276" w:lineRule="auto"/>
        <w:ind w:firstLine="72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Ознакомиться с текстом законопроекта, а также с сопроводительными документами к нему можно </w:t>
      </w:r>
      <w:hyperlink r:id="rId18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spacing w:line="276" w:lineRule="auto"/>
        <w:ind w:firstLine="72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2s8eyo1" w:id="9"/>
      <w:bookmarkEnd w:id="9"/>
      <w:r w:rsidDel="00000000" w:rsidR="00000000" w:rsidRPr="00000000">
        <w:rPr>
          <w:rFonts w:ascii="Cambria" w:cs="Cambria" w:eastAsia="Cambria" w:hAnsi="Cambria"/>
          <w:rtl w:val="0"/>
        </w:rPr>
        <w:t xml:space="preserve">Жогорку Кенеш вернул проект новой редакции Трудового кодекса КР в ответственный комитет</w:t>
      </w:r>
    </w:p>
    <w:p w:rsidR="00000000" w:rsidDel="00000000" w:rsidP="00000000" w:rsidRDefault="00000000" w:rsidRPr="00000000" w14:paraId="00000051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 октября 2024 г. Жогорку Кенеш принял проекты нового Трудового кодекса КР (проект нового ТК) и Закона КР «О введении в действие Трудового кодекса КР и внесении изменений в некоторые законодательные акты КР в сфере труда» (далее – законопроект) в первом чтении, основные положения которых были изложены в </w:t>
      </w:r>
      <w:hyperlink r:id="rId19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Информационном бюллетене №53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120" w:line="276" w:lineRule="auto"/>
        <w:ind w:firstLine="706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27 ноября 2024 г. Жогорку Кенеш вернул проекты нового ТК и законопроекта в ответственный комитет для доработки. По словам депутата Жогорку Кенеша Масалиева И.А., в законопроекте не были учтены предложения и комментарии, направленные депутатами Жогорку Кенеша.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Ознакомиться с текстами проекта нового ТК и законопроекта, а также с сопроводительными документами к ним можно </w:t>
      </w:r>
      <w:hyperlink r:id="rId2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hyperlink r:id="rId2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17dp8vu" w:id="10"/>
      <w:bookmarkEnd w:id="10"/>
      <w:r w:rsidDel="00000000" w:rsidR="00000000" w:rsidRPr="00000000">
        <w:rPr>
          <w:rFonts w:ascii="Cambria" w:cs="Cambria" w:eastAsia="Cambria" w:hAnsi="Cambria"/>
          <w:rtl w:val="0"/>
        </w:rPr>
        <w:t xml:space="preserve">Жогорку Кенеш принял во втором чтении проект Закона КР «О внесении изменений в некоторые законодательные акты Кыргызской Республики в сфере доступа к информации»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Как было изложено ранее в </w:t>
      </w:r>
      <w:hyperlink r:id="rId22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Информационном бюллетене №60</w:t>
        </w:r>
      </w:hyperlink>
      <w:r w:rsidDel="00000000" w:rsidR="00000000" w:rsidRPr="00000000">
        <w:rPr>
          <w:rFonts w:ascii="Cambria" w:cs="Cambria" w:eastAsia="Cambria" w:hAnsi="Cambria"/>
          <w:color w:val="0563c1"/>
          <w:u w:val="singl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проект Закона КР «О внесении изменений в некоторые законодательные акты Кыргызской Республики в сфере доступа к информации» (далее - законопроект) был опубликован на сайте Жогорку Кенеша 24 июля 2024 года. Инициатором законопроекта является Кабинет Министров. </w:t>
      </w:r>
    </w:p>
    <w:p w:rsidR="00000000" w:rsidDel="00000000" w:rsidP="00000000" w:rsidRDefault="00000000" w:rsidRPr="00000000" w14:paraId="00000057">
      <w:pPr>
        <w:spacing w:after="120"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Законопроект разработан в целях реализации пункта 1 части 3 статьи 49 Закона КР «О праве на доступ к информации» от 29 декабря 2023 г. Данный пункт предусматривает необходимость внесения Кабинетом Министров на рассмотрение Жогорку Кенеша предложений по приведению законодательных актов в соответствие с вышеуказанным Законом.</w:t>
      </w:r>
    </w:p>
    <w:p w:rsidR="00000000" w:rsidDel="00000000" w:rsidP="00000000" w:rsidRDefault="00000000" w:rsidRPr="00000000" w14:paraId="00000058">
      <w:pPr>
        <w:spacing w:after="120" w:line="276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Законопроектом предлагается дополнить Административно-процессуальный кодекс КР новой «Главой 23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  <w:t xml:space="preserve">Производство по обжалованию действия (бездействия) и (или) актов обладателей информации, нарушающих право на доступ к информации», внести в Кодекс КР о правонарушениях положения, устанавливающие штраф для юридических лиц в размере 50 расчетных показателей (5 000 сомов) за неправомерный отказ в предоставлении информации, предоставление которой предусмотрено Законом КР «О праве на доступ к информации», несвоевременное ее предоставление, либо предоставление недостоверной информации. Законопроект предусматривает и другие положения, которые ранее были подробно написаны в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hyperlink r:id="rId23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Информационном бюллетене №60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28 ноября 2024 г. Жогорку Кенеш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hyperlink r:id="rId24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рассмотрел и принял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законопроект во втором чтении.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Ознакомиться с текстом законопроекта, а также с сопроводительными документами к нему можно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2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6" w:type="default"/>
      <w:footerReference r:id="rId27" w:type="first"/>
      <w:pgSz w:h="15840" w:w="12240" w:orient="portrait"/>
      <w:pgMar w:bottom="567" w:top="1135" w:left="1418" w:right="9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90" w:hanging="360"/>
      </w:pPr>
      <w:rPr>
        <w:rFonts w:ascii="Cambria" w:cs="Cambria" w:eastAsia="Cambria" w:hAnsi="Cambria"/>
        <w:b w:val="0"/>
        <w:bCs w:val="0"/>
        <w:i w:val="0"/>
        <w:iCs w:val="0"/>
        <w:color w:val="2f5496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enesh.kg/bills/651733" TargetMode="External"/><Relationship Id="rId22" Type="http://schemas.openxmlformats.org/officeDocument/2006/relationships/hyperlink" Target="https://icnlalliance-my.sharepoint.com/:w:/g/personal/akurmanalieva_icnlalliance_kg/EWyRANIl2lNDk9sh05NzOFcBFTEf1016wuX3toDbdgakFQ?e=ZiXnVp" TargetMode="External"/><Relationship Id="rId21" Type="http://schemas.openxmlformats.org/officeDocument/2006/relationships/hyperlink" Target="https://kenesh.kg/bills/651496" TargetMode="External"/><Relationship Id="rId24" Type="http://schemas.openxmlformats.org/officeDocument/2006/relationships/hyperlink" Target="https://kenesh.kg/ru/posts/11178" TargetMode="External"/><Relationship Id="rId23" Type="http://schemas.openxmlformats.org/officeDocument/2006/relationships/hyperlink" Target="https://icnlalliance-my.sharepoint.com/:w:/g/personal/akurmanalieva_icnlalliance_kg/EWyRANIl2lNDk9sh05NzOFcBFTEf1016wuX3toDbdgakFQ?e=ZiXnV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nesh.kg/bills/public/3454" TargetMode="External"/><Relationship Id="rId26" Type="http://schemas.openxmlformats.org/officeDocument/2006/relationships/footer" Target="footer1.xml"/><Relationship Id="rId25" Type="http://schemas.openxmlformats.org/officeDocument/2006/relationships/hyperlink" Target="https://kenesh.kg/ru/bills/655612" TargetMode="Externa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-5tEYinurA_IN1omsKJ9Xanlj_Pd-bn4?usp=drive_link" TargetMode="External"/><Relationship Id="rId8" Type="http://schemas.openxmlformats.org/officeDocument/2006/relationships/hyperlink" Target="https://cbd.minjust.gov.kg/4-5323/edition/6070/ru" TargetMode="External"/><Relationship Id="rId11" Type="http://schemas.openxmlformats.org/officeDocument/2006/relationships/hyperlink" Target="https://24.kg/obschestvo/297537_vkyirgyizstane_prosyat_prinyat_pervyiy_zakon_otvorcheskih_soyuzah/" TargetMode="External"/><Relationship Id="rId10" Type="http://schemas.openxmlformats.org/officeDocument/2006/relationships/hyperlink" Target="mailto:a.jrust67@mail.ru" TargetMode="External"/><Relationship Id="rId13" Type="http://schemas.openxmlformats.org/officeDocument/2006/relationships/hyperlink" Target="https://kenesh.kg/bills/659427" TargetMode="External"/><Relationship Id="rId12" Type="http://schemas.openxmlformats.org/officeDocument/2006/relationships/hyperlink" Target="https://24.kg/obschestvo/311667_deputatyi_predlagayut_opredelit_pravovoy_status_tvorcheskih_soyuzov/" TargetMode="External"/><Relationship Id="rId15" Type="http://schemas.openxmlformats.org/officeDocument/2006/relationships/hyperlink" Target="https://docs.google.com/document/d/1pTH3ElLYDeXi-7YRZzu7343tI3OVmbLSGveE6BnHTkM/edit?usp=drive_link" TargetMode="External"/><Relationship Id="rId14" Type="http://schemas.openxmlformats.org/officeDocument/2006/relationships/hyperlink" Target="https://erkin-too.kg/wp-content/uploads/2024/11/05_11_compressed.pdf" TargetMode="External"/><Relationship Id="rId17" Type="http://schemas.openxmlformats.org/officeDocument/2006/relationships/hyperlink" Target="https://kenesh.kg/ru/posts/10743" TargetMode="External"/><Relationship Id="rId16" Type="http://schemas.openxmlformats.org/officeDocument/2006/relationships/hyperlink" Target="https://kenesh.kg/bills/657423" TargetMode="External"/><Relationship Id="rId19" Type="http://schemas.openxmlformats.org/officeDocument/2006/relationships/hyperlink" Target="https://docs.google.com/document/d/1JAIaDgPuPYfsqtmUjrJ6hniXdn-vfO-t/edit?usp=sharing&amp;ouid=106297453833104951749&amp;rtpof=true&amp;sd=true" TargetMode="External"/><Relationship Id="rId18" Type="http://schemas.openxmlformats.org/officeDocument/2006/relationships/hyperlink" Target="https://kenesh.kg/bills/65563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</Properties>
</file>