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sz w:val="22"/>
          <w:szCs w:val="22"/>
          <w:rtl w:val="0"/>
        </w:rPr>
        <w:t xml:space="preserve">ИНФОРМАЦИОННЫЙ БЮЛЛЕТЕНЬ N 68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31 декабря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193211157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Предлагаются поправки в Закон об аудиторской деятельности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Кабинет Министров предлагает определить случаи, когда заработная плата может быть выплачена в наличной форме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парламента внес изменения в предлагаемые поправки в Закон «О нормативных правовых актах Кыргызской Республики»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Инициированы поправки в законодательство КР в целях ликвидации (исключения из Единого реестра) нефункционирующих юридических лиц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Поправки в законодательные акты в сфере доступа к информации приняты в третьем чтении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новой редакции Трудового кодекса принят во втором и третьем чтениях</w:t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об ответственности за оскорбление и клевету принят в третьем чтении</w:t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2s8eyo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Поправки в Налоговый кодекс приняты парламентом в трех чтениях</w:t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hyperlink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принял законопроекты в религиозной сфере в трех чтениях</w:t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851" w:right="0" w:hanging="425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spacing w:before="120"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Ознакомиться со всеми предыдущими выпусками информационных бюллетеней на кыргызском и русском языках можно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sz w:val="22"/>
          <w:szCs w:val="22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Предлагаются поправки в Закон об аудиторской деятельности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декабря 2024 г. на сайте Жогорку Кенеша был зарегистрирован проект Закона КР «О внесении изменений в некоторые законодательные акты Кыргызской Республики в сфере бухгалтерского учета и аудиторской деятельности» (далее – законопроект), инициатором которого является Кабинет Министров.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справке-обоснованию, законопроект разработан в целях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усиления ответственности аудиторских организаций, совершенствования нормативно-правовой базы, приведения ее в соответствие с международными стандартами в области аудита, исключения противоречий, коллизий и устранения пробелов законодательства в сфере бухгалтерского учета и аудиторской деятельности...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Законопроектом, среди множества других изменений, предлагается дополнить статью 4 Закона КР «Об аудиторской деятельности» частью 9 следующего содержания:</w:t>
      </w:r>
    </w:p>
    <w:p w:rsidR="00000000" w:rsidDel="00000000" w:rsidP="00000000" w:rsidRDefault="00000000" w:rsidRPr="00000000" w14:paraId="00000017">
      <w:pPr>
        <w:spacing w:after="120" w:line="276" w:lineRule="auto"/>
        <w:ind w:firstLine="709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«9. Аудиторские организации обязаны сообщать уполномоченному государственному органу, с одновременным уведомлением проаудированных лиц, о выявленных в результате аудита нарушениях стандартов финансовой отчетности в течение 5 (пяти) рабочих дней с даты подписания аудиторского заключения (отчета)».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Кабинет Министров предлагает определить случаи, когда заработная плата может быть выплачена в наличной форме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декабря 2024 г. в Едином портале общественного обсуждения проектов нормативных правовых актов (далее – Единый портал) для общественного обсуждения был опубликован проект Постановления Кабинета Министров «О случаях, при которых допускается выплата заработной платы в наличной форме» (далее – проект постановления).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Последние поправки в Налоговый кодекс КР предусматривают выплату юридическими лицами заработную плату работникам в безналичной форме. Проектом постановления предлагается определить исключительные случаи, когда заработная плата может выплачиваться в наличной форме.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Проектом постановления предлагается разрешить юридическим лицам выплачивать заработную плату в наличной форме в следующих случаях: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6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отсутствия банковской инфраструктуры в местности расположения трудовой деятельности работника;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6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найме сезонных рабочих для посева и сбора урожая (весенне-осенние полевые работы);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6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наложения ареста на расчетные счета предприятия;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6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работникам товариществ собственников жилья (до 1 января 2026 года);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6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сельскохозяйственным кооперативам.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проекта постановления и сопроводительными документами к нему можно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Профильный комитет парламента внес изменения в предлагаемые поправки в Закон «О нормативных правовых актах Кыргызской Республики»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Проект Закона КР «О внесении изменений в Закон Кыргызской Республики «О нормативных правовых актах Кыргызской Республики»» (далее - законопроект) был опубликован на сайте Жогорку Кенеша 23 июля 2024 года, в Информационном бюллетене №59 были описаны предлагаемые изменения. Законопроект был принят в первом чтении 16 октября 2024 года.</w:t>
      </w:r>
    </w:p>
    <w:p w:rsidR="00000000" w:rsidDel="00000000" w:rsidP="00000000" w:rsidRDefault="00000000" w:rsidRPr="00000000" w14:paraId="00000029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17 декабря 2024 г. Комитет по конституционному законодательству, государственному устройству, судебно-правовым вопросам и Регламенту Жогорку Кенеша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рассмотрел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законопроект и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рекомендовал парламенту внести в него нижеследующие изменения и принять во втором чтении: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проводить общественные обсуждения по проектам нормативных правовых актов (НПА) путем их размещения в Едином портале; при этом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проекты НПА, инициируемые депутатами Жогорку Кенеша подлежат общественному обсуждению посредством размещения на сайте Жогорку Кенеша. Проекты НПА, инициируемые депутатами Жогорку Кенеша дополнительно могут размещаться для общественного обсуждения в Едином портале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распространять требования о проведении общественного обсуждения на проекты НПА, направленных на регулирование прав граждан и юридических лиц в условиях обстоятельств непреодолимой силы;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120"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изменить формулировки по срокам общественного обсуждения проектов НПА с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не менее одного месяца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 на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не менее 15 календарных дней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»; при этом,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в случае организации дополнительных мероприятий, направленных на повышение эффективности общественного обсуждения, срок общественного обсуждения может быть сокращен до 10 календарных дней;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изменить предлагаемую норму о правовом регулировании общественных отношений в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пилотном режиме на следующую редакцию: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76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«Статья 31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. Временное правовое регулирование новых общественных отношений</w:t>
      </w:r>
    </w:p>
    <w:p w:rsidR="00000000" w:rsidDel="00000000" w:rsidP="00000000" w:rsidRDefault="00000000" w:rsidRPr="00000000" w14:paraId="0000002F">
      <w:pPr>
        <w:spacing w:after="120" w:line="276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1. В целях апробирования функционирования новых общественных отношений Президент вправе ввести временное регулирование общественных отношений сроком до одного года.</w:t>
      </w:r>
    </w:p>
    <w:p w:rsidR="00000000" w:rsidDel="00000000" w:rsidP="00000000" w:rsidRDefault="00000000" w:rsidRPr="00000000" w14:paraId="00000030">
      <w:pPr>
        <w:spacing w:after="120" w:line="276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2. При положительной реализации временного правового регулирования, нормотворческими субъектами могут быть приняты соответствующие нормативные правовые акты. Порядок подготовки и продвижения проектов нормативных правовых актов осуществляется в соответствии с настоящим законом.».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 другие изменения.</w:t>
      </w:r>
    </w:p>
    <w:p w:rsidR="00000000" w:rsidDel="00000000" w:rsidP="00000000" w:rsidRDefault="00000000" w:rsidRPr="00000000" w14:paraId="00000032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Инициированы поправки в законодательство КР в целях ликвидации (исключения из Единого реестра) нефункционирующих юридических лиц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декабря 2024 г. в Едином портале для общественного обсуждения был опубликован проект Закона КР «О внесении изменения в Гражданский кодекс Кыргызской Республики, Гражданский процессуальный кодекс Кыргызской Республики» (далее – законопроект), инициатором которого является Кабинет Министров.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справке-обоснованию, целью предлагаемого законопроекта является исключение из «Единого государственного реестра юридических лиц, филиалов/представительств» (далее – Единый реестр) нефункционирующих юридических лиц.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«… на сегодняшний день, в Едином реестре зарегистрированы 186 000 юридических лиц, но многие из них не осуществляют свою деятельность и не сдают отчеты в налоговый орган. Кроме того, участились случаи обращения граждан в регистрирующий орган о ликвидации юридического лица в связи со смертью, признанием безвестно отсутствующим или выездом на неопределенное время из страны учредителя юридического лица», -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также отмечается в справке-обосновании.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Законопроектом предлагается: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3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Часть 3 статьи 96 Гражданского кодекса КР дополнить абзацем 3 следующего содержания: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993" w:right="0" w:firstLine="360.0000000000001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«Уполномоченный орган в сфере регистрации юридических лиц вправе обратиться в суд с заявлением о принудительной ликвидации юридического лица.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993" w:right="0" w:firstLine="360.0000000000001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Один из учредителей (участников) юридического лица вправе обратиться в суд с заявлением о принудительной ликвидации юридического лица в случае смерти или в случае отсутствия одного из учредителей (участников)».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3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абзацах 3 и 4 части 3 статьи 96 Гражданского кодекса КР слова «Решение суда» заменить словами «Судебный акт».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3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Статью 246 Гражданского процессуального кодекса КР дополнить пунктом 10 следующего содержания: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993" w:right="0" w:firstLine="360.0000000000001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«10) заявлено требование налогового органа, уполномоченного органа с сфере регистрации юридических лиц или учредителя о принудительной ликвидации юридического лица».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Инициаторы на основании вышеуказанных изменений (в случае их принятия) предлагают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произвести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массовую ликвидацию нефункционирующих юридических лиц, а также производить ликвидацию юридических лиц в случае непредставления ими отчетов, отсутствия учредителей или фактического не функционирования юридического лица - на основании судебного приказа.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«Судебный приказ» выносится без судебного разбирательства и вызова сторон.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 случае непредставления отчетов, отсутствия учредителей или фактического не функционирования юридического лица ликвидация осуществляется, считаем целесообразным ликвидировать такие юридические лица без осуществления искового производства, поскольку не требуется тщательной проверки обстоятельств и вынесения мотивированного решения суда»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отмечено в справке-обосновании к законопроекту.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ОГО и другие заинтересованные лица могут направить свои предложения и комментарии по законопроекту через Единый портал до 17 января 2024 г.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numPr>
          <w:ilvl w:val="0"/>
          <w:numId w:val="1"/>
        </w:numPr>
        <w:spacing w:after="120" w:before="0" w:line="276" w:lineRule="auto"/>
        <w:ind w:left="1170" w:hanging="360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Поправки в законодательные акты в сфере доступа к информации приняты в третьем чтении</w:t>
      </w:r>
    </w:p>
    <w:p w:rsidR="00000000" w:rsidDel="00000000" w:rsidP="00000000" w:rsidRDefault="00000000" w:rsidRPr="00000000" w14:paraId="00000044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предыдущих номерах Информационных бюллетеней мы информировали Вас о том, что 24 июля 2024 г. на сайте Жогорку Кенеша был опубликован проект Закона КР «О внесении изменений в некоторые законодательные акты Кыргызской Республики в сфере доступа к информации» (далее – законопроект), инициатором которого является Кабинет Министров.</w:t>
      </w:r>
    </w:p>
    <w:p w:rsidR="00000000" w:rsidDel="00000000" w:rsidP="00000000" w:rsidRDefault="00000000" w:rsidRPr="00000000" w14:paraId="00000045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предлагается: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дополнить Административно-процессуальный кодекс КР новой «Главой 23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Производство по обжалованию действия (бездействия) и (или) актов обладателей информации, нарушающих право на доступ к информации»,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внести в Кодекс КР о правонарушениях положения, устанавливающие штраф для юридических лиц в размере 50 расчетных показателей (5 000 сомов) за неправомерный отказ в предоставлении информации, предоставление которой предусмотрено Законом КР «О праве на доступ к информации», несвоевременное ее предоставление, либо предоставление недостоверной информации,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120" w:before="0" w:line="276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положения, которые ранее были подробно изложены в </w:t>
      </w:r>
      <w:hyperlink r:id="rId1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Информационном бюллетене №60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120" w:line="276" w:lineRule="auto"/>
        <w:ind w:firstLine="72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Следует отметить, что под обладателями информации в соответствии с пунктом 4 статьи 2 Закона КР «О праве на доступ к информации» понимаются субъекты государственного и негосударственного сектора. При этом статья 11 Закона к субъектам негосударственного сектора относит следующие лица:</w:t>
      </w:r>
    </w:p>
    <w:p w:rsidR="00000000" w:rsidDel="00000000" w:rsidP="00000000" w:rsidRDefault="00000000" w:rsidRPr="00000000" w14:paraId="0000004A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юридические лица, занимающие доминирующее положение на рынке товаров и услуг, обладающие специальным или исключительным правом либо естественной монополией в части предоставления доступа к информации, касающейся условий предложения товаров и услуг, цен на них, изменений условий и цен;</w:t>
      </w:r>
    </w:p>
    <w:p w:rsidR="00000000" w:rsidDel="00000000" w:rsidP="00000000" w:rsidRDefault="00000000" w:rsidRPr="00000000" w14:paraId="0000004B">
      <w:pPr>
        <w:spacing w:after="120" w:line="276" w:lineRule="auto"/>
        <w:ind w:firstLine="72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юридические лица, не имеющие государственной или муниципальной доли участия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в части информации, касающейся использования средств, выделенных из государственного бюджета для выполнения общественно полезных обязанностей.</w:t>
      </w:r>
    </w:p>
    <w:p w:rsidR="00000000" w:rsidDel="00000000" w:rsidP="00000000" w:rsidRDefault="00000000" w:rsidRPr="00000000" w14:paraId="0000004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Таким образом, законопроектом предлагается ввести ответственность субъектов государственного и негосударственного сектора за неправомерный отказ в предоставлении информации, предоставление которой предусмотрено Законом КР «О праве на доступ к информации», несвоевременное ее предоставление, либо предоставление недостоверной информации.</w:t>
      </w:r>
    </w:p>
    <w:p w:rsidR="00000000" w:rsidDel="00000000" w:rsidP="00000000" w:rsidRDefault="00000000" w:rsidRPr="00000000" w14:paraId="0000004D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18 декабря 2024 г. Жогорку Кенеш КР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законопроект в третьем чтении.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законопроекта, а также с сопроводительными документами к нему можно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Проект новой редакции Трудового кодекса принят во втором и третьем чтениях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9 октября 2024 г. Жогорку Кенеш принял проекты нового Трудового кодекса КР (проект нового ТК) и Закона КР «О введении в действие Трудового кодекса КР и внесении изменений в некоторые законодательные акты КР в сфере труда» (далее – законопроект) в первом чтении, основные положения которых были изложены в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№53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12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Однако, 27 ноября 2024 г. Жогорку Кенеш вернул проекты нового ТК и законопроекта в ответственный Комитет для доработки, после чего проекты  были доработаны с учетом предложений и комментариев депутатов парламента.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декабря 2024 г. Жогорку Кенеш </w:t>
      </w:r>
      <w:hyperlink r:id="rId1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проект нового Т) и законопроекта во втором и третьем чтениях, которые включают в себя следующие изменения: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дополнен такими понятиями как «трудовой стаж», «трудовые споры», «тяжелые условия труда», «условия труда», «опасный производственный фактор», «опасные условия труда» и «вредный производственный фактор»;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случаях, когда в судебном порядке либо государственным инспектором по надзору и контролю за соблюдением трудового законодательства в ходе инспекционной проверки установлено, что фактически трудовые отношения между работодателем и работником регулируются договором гражданско-правового характера, к ним применяются положения трудового законодательства;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правом обращения в суд с соответствующим заявлением о восстановлении нарушенных прав, возмещении материального ущерба и компенсации морального вреда наделяются не только лица, считающие, что они подверглись дискриминации в сфере труда, но и также лица, считающие, что они подверглись насилию, домогательству, преследованию в сфере труда;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предусматривается право работника на защиту персональных данных в порядке, предусмотренном законодательством об информации персонального характера;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предусматривается обязанность работодателя по размещению на информационном портале уполномоченного государственного органа в сфере содействия занятости объявления о каждом вновь созданном или освободившемся рабочем месте (вакансии) с указанием условий и оплаты труда в порядке, определяемом Кабинетом Министров;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предусматривается право работника на расторжение трудового договора, путем предупреждения об этом работодателя в письменной форме за один месяц;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Более подробно ознакомиться с текстами проекта нового ТК и законопроекта, а также с сопроводительными документами к ним можно </w:t>
      </w:r>
      <w:hyperlink r:id="rId1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</w:t>
      </w:r>
      <w:hyperlink r:id="rId1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4d34og8" w:id="8"/>
      <w:bookmarkEnd w:id="8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Проект закона об ответственности за оскорбление и клевету принят в третьем чтении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было изложено в предыдущих номерах Информационных бюллетеней, проект Закона «О внесении изменений в Кодекс Кыргызской Республики о правонарушениях» (далее – законопроект), инициатором которого является Кабинет Министров, ранее был </w:t>
      </w:r>
      <w:hyperlink r:id="rId2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принят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в первом (23 октября 2024 г.) и во втором (5 декабря 2024 г) чтениях.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декабря 2024 г. Жогорку Кенеш </w:t>
      </w:r>
      <w:hyperlink r:id="rId2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принял 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законопроект в третьем чтении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 предусматривает ответственность в виде штрафа в размере 200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20 000 сомов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) для физических лиц и 650 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65000 сомов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) для юридических лиц за оскорбление, то есть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умышленное унижение чести и достоинства другого лица, выраженное в неприличной форме, содержащееся в средствах массовой информации, на сайте в сети Интернет или на странице сайта в сети Интернет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Такие же суммы штрафов предусматриваются к физическим и юридическим лицам за клевету, то есть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распространение заведомо ложных сведений, порочащих честь и достоинство другого лица или подрывающих его репутацию, содержащуюся в средствах массовой информации, на сайте в сети Интернет или на странице сайта в сети Интернет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3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 совершение такого рода правонарушений привлекать к ответственности будут иметь право органы внутренних дел.</w:t>
      </w:r>
    </w:p>
    <w:p w:rsidR="00000000" w:rsidDel="00000000" w:rsidP="00000000" w:rsidRDefault="00000000" w:rsidRPr="00000000" w14:paraId="00000064">
      <w:pPr>
        <w:spacing w:line="276" w:lineRule="auto"/>
        <w:ind w:firstLine="72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Ознакомиться с текстом законопроекта, а также с сопроводительными документами к нему можно </w:t>
      </w:r>
      <w:hyperlink r:id="rId2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5">
      <w:pPr>
        <w:spacing w:line="276" w:lineRule="auto"/>
        <w:ind w:firstLine="72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2s8eyo1" w:id="9"/>
      <w:bookmarkEnd w:id="9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Поправки в Налоговый кодекс приняты парламентом в трех чтениях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декабря 2024 г. Жогорку Кенеш </w:t>
      </w:r>
      <w:hyperlink r:id="rId2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во втором и третьем чтениях проект Закона «О внесении изменений в некоторые законодательные акты Кыргызской Республики в сфере налогообложения» (далее – законопроект).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Законопроект предусматривает множество изменений в Налоговый кодекс КР и ряд других нормативных правовых актов, которые детально изложены в Сравнительной таблице к законопроекту, объем которой составляет 180 страниц. О некоторых предлагаемых законопроектом изменениях было подробно упомянуто в </w:t>
      </w:r>
      <w:hyperlink r:id="rId2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Информационном бюллетене №63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законопроекте есть нормы, которые касаются деятельности НКО. К примеру:</w:t>
      </w:r>
    </w:p>
    <w:p w:rsidR="00000000" w:rsidDel="00000000" w:rsidP="00000000" w:rsidRDefault="00000000" w:rsidRPr="00000000" w14:paraId="0000006B">
      <w:pPr>
        <w:shd w:fill="ffffff" w:val="clear"/>
        <w:spacing w:after="120" w:line="276" w:lineRule="auto"/>
        <w:ind w:firstLine="709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- из статьи 308 Кодекса о правонарушениях предлагается удалить часть 3, где была предусмотрена ответственность за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нарушение сроков представления налоговых отчетов с нулевыми показателями»;</w:t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- В статью «191. Льготы по подоходному налогу» Налогового кодекса КР предлагается внести следующие дополнения (они напечатаны жирным шрифтом):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«…</w:t>
      </w:r>
    </w:p>
    <w:p w:rsidR="00000000" w:rsidDel="00000000" w:rsidP="00000000" w:rsidRDefault="00000000" w:rsidRPr="00000000" w14:paraId="0000006E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2. Не облагаются подоходным налогом следующие доходы социально незащищенных категорий налогоплательщиков:</w:t>
      </w:r>
    </w:p>
    <w:p w:rsidR="00000000" w:rsidDel="00000000" w:rsidP="00000000" w:rsidRDefault="00000000" w:rsidRPr="00000000" w14:paraId="0000006F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70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доходы нетрудоспособных граждан, членов малообеспеченных и малоимущих семей, полученные в виде денежных средств и имущества от профсоюзных органов,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некоммерческих организаций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71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72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3. Не облагается подоходным налогом следующий доход, полученный налогоплательщиком в виде:</w:t>
      </w:r>
    </w:p>
    <w:p w:rsidR="00000000" w:rsidDel="00000000" w:rsidP="00000000" w:rsidRDefault="00000000" w:rsidRPr="00000000" w14:paraId="00000073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74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2) стипендии и пенсии, установленные законодательством Кыргызской Республики, а также стипендии и оплаты за обучение в Кыргызской Республике и зарубежных странах, выплачиваемые некоммерческими организациями;</w:t>
      </w:r>
    </w:p>
    <w:p w:rsidR="00000000" w:rsidDel="00000000" w:rsidP="00000000" w:rsidRDefault="00000000" w:rsidRPr="00000000" w14:paraId="00000075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76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7) гуманитарной помощи, специальные товары и детали, приобретенные из-за границы в целях поддержки людей с ограниченными возможностями;</w:t>
      </w:r>
    </w:p>
    <w:p w:rsidR="00000000" w:rsidDel="00000000" w:rsidP="00000000" w:rsidRDefault="00000000" w:rsidRPr="00000000" w14:paraId="00000077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78">
      <w:pPr>
        <w:shd w:fill="ffffff" w:val="clear"/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16) стоимости услуг по организации и проведению семинара, тренинга, круглого стола,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конференции,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проводимых для их участников на безвозмездной основе, включая услуги преподавания, стоимости раздаточных материалов, питания, проживания и транспортных услуг;</w:t>
      </w:r>
    </w:p>
    <w:p w:rsidR="00000000" w:rsidDel="00000000" w:rsidP="00000000" w:rsidRDefault="00000000" w:rsidRPr="00000000" w14:paraId="00000079">
      <w:pPr>
        <w:shd w:fill="ffffff" w:val="clear"/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…».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2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numPr>
          <w:ilvl w:val="0"/>
          <w:numId w:val="1"/>
        </w:numPr>
        <w:spacing w:before="0" w:line="276" w:lineRule="auto"/>
        <w:ind w:left="1168" w:hanging="357"/>
        <w:jc w:val="both"/>
        <w:rPr/>
      </w:pPr>
      <w:bookmarkStart w:colFirst="0" w:colLast="0" w:name="_17dp8vu" w:id="10"/>
      <w:bookmarkEnd w:id="1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Жогорку Кенеш принял законопроекты в религиозной сфере в трех чтениях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30 августа 2024 г. в Едином портале для общественного обсуждения были опубликованы проект Закона КР «О свободе вероисповедания и религиозных объединениях» (далее – </w:t>
      </w:r>
      <w:hyperlink r:id="rId2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проект Закона о свободе вероисповедания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проект Закона КР «О внесении изменений в некоторые законодательные акты Кыргызской Республики в религиозной сфере» (далее – </w:t>
      </w:r>
      <w:hyperlink r:id="rId2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законопроект в религиозной сфере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инициатором которых является Кабинет Министров.</w:t>
      </w:r>
    </w:p>
    <w:p w:rsidR="00000000" w:rsidDel="00000000" w:rsidP="00000000" w:rsidRDefault="00000000" w:rsidRPr="00000000" w14:paraId="0000007F">
      <w:pPr>
        <w:spacing w:after="120" w:line="276" w:lineRule="auto"/>
        <w:ind w:firstLine="720"/>
        <w:jc w:val="both"/>
        <w:rPr>
          <w:rFonts w:ascii="Cambria" w:cs="Cambria" w:eastAsia="Cambria" w:hAnsi="Cambria"/>
          <w:color w:val="0563c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 целях и некоторых предлагаемых законопроектами изменениях было подробно изложено в </w:t>
      </w:r>
      <w:hyperlink r:id="rId2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Информационных бюллетенях №61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 </w:t>
      </w:r>
      <w:hyperlink r:id="rId3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 №67.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17 декабря 2024 г. Комитет по социальной политике Жогорку Кенеша (далее – Комитет) провел </w:t>
      </w:r>
      <w:hyperlink r:id="rId3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парламентские слушания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по законопроекту.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u w:val="none"/>
          <w:rtl w:val="0"/>
        </w:rPr>
        <w:t xml:space="preserve">В ходе парламентских слушаний э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кс-муфтий Максатбек Токтомушев поддержал законопроект, попросив не вводить запрет на даават. В свою очередь, директор Государственной комиссии по делам религий КР Азамат Юсупов отметил, что проектом Закона о свободе вероисповедания предлагается запретить подомовой (поквартирный) обход жилых и нежилых помещений представителями религиозных организаций с целью распространения или навязывания религии, поскольку этот метод также используют представители религиозных сект и экстремистских организаций.</w:t>
      </w:r>
    </w:p>
    <w:p w:rsidR="00000000" w:rsidDel="00000000" w:rsidP="00000000" w:rsidRDefault="00000000" w:rsidRPr="00000000" w14:paraId="00000081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26 декабря 2024 г. Жогорку Кенеш </w:t>
      </w:r>
      <w:hyperlink r:id="rId3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во втором и третьем чтениях </w:t>
      </w:r>
      <w:hyperlink r:id="rId3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проект Закона о свободе вероисповедания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</w:t>
      </w:r>
      <w:hyperlink r:id="rId3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законопроект в религиозной сфере</w:t>
        </w:r>
      </w:hyperlink>
      <w:r w:rsidDel="00000000" w:rsidR="00000000" w:rsidRPr="00000000">
        <w:rPr>
          <w:rtl w:val="0"/>
        </w:rPr>
        <w:t xml:space="preserve">. О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знакомиться с текстами принятых законопроектов можно </w:t>
      </w:r>
      <w:hyperlink r:id="rId3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 </w:t>
      </w:r>
      <w:hyperlink r:id="rId3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37" w:type="default"/>
      <w:footerReference r:id="rId38" w:type="first"/>
      <w:pgSz w:h="15840" w:w="12240" w:orient="portrait"/>
      <w:pgMar w:bottom="567" w:top="1135" w:left="1418" w:right="9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b w:val="0"/>
        <w:bCs w:val="0"/>
        <w:i w:val="0"/>
        <w:iCs w:val="0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5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enesh.kg/ru/posts/10743" TargetMode="External"/><Relationship Id="rId22" Type="http://schemas.openxmlformats.org/officeDocument/2006/relationships/hyperlink" Target="https://kenesh.kg/ru/posts/11483" TargetMode="External"/><Relationship Id="rId21" Type="http://schemas.openxmlformats.org/officeDocument/2006/relationships/hyperlink" Target="https://kenesh.kg/ru/posts/11483" TargetMode="External"/><Relationship Id="rId24" Type="http://schemas.openxmlformats.org/officeDocument/2006/relationships/hyperlink" Target="https://kenesh.kg/ru/posts/11546" TargetMode="External"/><Relationship Id="rId23" Type="http://schemas.openxmlformats.org/officeDocument/2006/relationships/hyperlink" Target="https://kenesh.kg/bills/65563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omtalkuu.gov.kg/ru/view-npa/4603" TargetMode="External"/><Relationship Id="rId26" Type="http://schemas.openxmlformats.org/officeDocument/2006/relationships/hyperlink" Target="https://kenesh.kg/bills/657423" TargetMode="External"/><Relationship Id="rId25" Type="http://schemas.openxmlformats.org/officeDocument/2006/relationships/hyperlink" Target="https://docs.google.com/document/d/1pTH3ElLYDeXi-7YRZzu7343tI3OVmbLSGveE6BnHTkM/edit?usp=drive_link" TargetMode="External"/><Relationship Id="rId28" Type="http://schemas.openxmlformats.org/officeDocument/2006/relationships/hyperlink" Target="https://koomtalkuu.gov.kg/ru/view-npa/4155" TargetMode="External"/><Relationship Id="rId27" Type="http://schemas.openxmlformats.org/officeDocument/2006/relationships/hyperlink" Target="https://koomtalkuu.gov.kg/ru/view-npa/4153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docs.google.com/document/d/1O_Na94Hu7ZqnSvlQznc5XCASKCgWtT4iu_HS_O8n3M8/edit?usp=sharing" TargetMode="External"/><Relationship Id="rId7" Type="http://schemas.openxmlformats.org/officeDocument/2006/relationships/hyperlink" Target="https://drive.google.com/drive/folders/1-5tEYinurA_IN1omsKJ9Xanlj_Pd-bn4?usp=drive_link" TargetMode="External"/><Relationship Id="rId8" Type="http://schemas.openxmlformats.org/officeDocument/2006/relationships/hyperlink" Target="https://kenesh.kg/bills/660420" TargetMode="External"/><Relationship Id="rId31" Type="http://schemas.openxmlformats.org/officeDocument/2006/relationships/hyperlink" Target="https://kenesh.kg/ru/posts/11467" TargetMode="External"/><Relationship Id="rId30" Type="http://schemas.openxmlformats.org/officeDocument/2006/relationships/hyperlink" Target="about:blank" TargetMode="External"/><Relationship Id="rId11" Type="http://schemas.openxmlformats.org/officeDocument/2006/relationships/hyperlink" Target="https://kenesh.kg/bills/655583" TargetMode="External"/><Relationship Id="rId33" Type="http://schemas.openxmlformats.org/officeDocument/2006/relationships/hyperlink" Target="https://koomtalkuu.gov.kg/ru/view-npa/4153" TargetMode="External"/><Relationship Id="rId10" Type="http://schemas.openxmlformats.org/officeDocument/2006/relationships/hyperlink" Target="https://kenesh.kg/ru/posts/11463" TargetMode="External"/><Relationship Id="rId32" Type="http://schemas.openxmlformats.org/officeDocument/2006/relationships/hyperlink" Target="https://kenesh.kg/ru/posts/11549" TargetMode="External"/><Relationship Id="rId13" Type="http://schemas.openxmlformats.org/officeDocument/2006/relationships/hyperlink" Target="https://icnlalliance-my.sharepoint.com/:w:/g/personal/akurmanalieva_icnlalliance_kg/EWyRANIl2lNDk9sh05NzOFcBFTEf1016wuX3toDbdgakFQ?e=ZiXnVp" TargetMode="External"/><Relationship Id="rId35" Type="http://schemas.openxmlformats.org/officeDocument/2006/relationships/hyperlink" Target="https://kenesh.kg/bills/659746" TargetMode="External"/><Relationship Id="rId12" Type="http://schemas.openxmlformats.org/officeDocument/2006/relationships/hyperlink" Target="https://koomtalkuu.gov.kg/ru/view-npa/4606" TargetMode="External"/><Relationship Id="rId34" Type="http://schemas.openxmlformats.org/officeDocument/2006/relationships/hyperlink" Target="https://koomtalkuu.gov.kg/ru/view-npa/4155" TargetMode="External"/><Relationship Id="rId15" Type="http://schemas.openxmlformats.org/officeDocument/2006/relationships/hyperlink" Target="https://kenesh.kg/ru/bills/655612" TargetMode="External"/><Relationship Id="rId37" Type="http://schemas.openxmlformats.org/officeDocument/2006/relationships/footer" Target="footer1.xml"/><Relationship Id="rId14" Type="http://schemas.openxmlformats.org/officeDocument/2006/relationships/hyperlink" Target="https://kenesh.kg/ru/posts/11475" TargetMode="External"/><Relationship Id="rId36" Type="http://schemas.openxmlformats.org/officeDocument/2006/relationships/hyperlink" Target="https://kenesh.kg/bills/659908" TargetMode="External"/><Relationship Id="rId17" Type="http://schemas.openxmlformats.org/officeDocument/2006/relationships/hyperlink" Target="https://kenesh.kg/posts/11476" TargetMode="External"/><Relationship Id="rId16" Type="http://schemas.openxmlformats.org/officeDocument/2006/relationships/hyperlink" Target="https://docs.google.com/document/d/1JAIaDgPuPYfsqtmUjrJ6hniXdn-vfO-t/edit?usp=sharing&amp;ouid=106297453833104951749&amp;rtpof=true&amp;sd=true" TargetMode="External"/><Relationship Id="rId38" Type="http://schemas.openxmlformats.org/officeDocument/2006/relationships/footer" Target="footer2.xml"/><Relationship Id="rId19" Type="http://schemas.openxmlformats.org/officeDocument/2006/relationships/hyperlink" Target="https://kenesh.kg/bills/651496" TargetMode="External"/><Relationship Id="rId18" Type="http://schemas.openxmlformats.org/officeDocument/2006/relationships/hyperlink" Target="https://kenesh.kg/bills/65173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