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76" w:lineRule="auto"/>
        <w:ind w:firstLine="720"/>
        <w:jc w:val="center"/>
        <w:rPr>
          <w:rFonts w:ascii="Cambria" w:cs="Cambria" w:eastAsia="Cambria" w:hAnsi="Cambria"/>
          <w:color w:val="2e75b5"/>
          <w:sz w:val="22"/>
          <w:szCs w:val="22"/>
        </w:rPr>
      </w:pPr>
      <w:r w:rsidDel="00000000" w:rsidR="00000000" w:rsidRPr="00000000">
        <w:rPr>
          <w:rFonts w:ascii="Cambria" w:cs="Cambria" w:eastAsia="Cambria" w:hAnsi="Cambria"/>
          <w:sz w:val="22"/>
          <w:szCs w:val="22"/>
        </w:rPr>
        <w:drawing>
          <wp:inline distB="0" distT="0" distL="0" distR="0">
            <wp:extent cx="1120093" cy="81749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20093" cy="81749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line="276" w:lineRule="auto"/>
        <w:ind w:firstLine="720"/>
        <w:jc w:val="center"/>
        <w:rPr>
          <w:rFonts w:ascii="Cambria" w:cs="Cambria" w:eastAsia="Cambria" w:hAnsi="Cambria"/>
          <w:b w:val="1"/>
          <w:bCs w:val="1"/>
          <w:color w:val="2e75b5"/>
          <w:sz w:val="22"/>
          <w:szCs w:val="22"/>
        </w:rPr>
      </w:pPr>
      <w:r w:rsidDel="00000000" w:rsidR="00000000" w:rsidRPr="00000000">
        <w:rPr>
          <w:rFonts w:ascii="Cambria" w:cs="Cambria" w:eastAsia="Cambria" w:hAnsi="Cambria"/>
          <w:b w:val="1"/>
          <w:bCs w:val="1"/>
          <w:color w:val="2e75b5"/>
          <w:sz w:val="22"/>
          <w:szCs w:val="22"/>
          <w:rtl w:val="0"/>
        </w:rPr>
        <w:t xml:space="preserve">ИНФОРМАЦИОННЫЙ БЮЛЛЕТЕНЬ N 69</w:t>
      </w:r>
    </w:p>
    <w:p w:rsidR="00000000" w:rsidDel="00000000" w:rsidP="00000000" w:rsidRDefault="00000000" w:rsidRPr="00000000" w14:paraId="00000003">
      <w:pPr>
        <w:spacing w:after="120" w:line="276" w:lineRule="auto"/>
        <w:ind w:firstLine="720"/>
        <w:jc w:val="center"/>
        <w:rPr>
          <w:rFonts w:ascii="Cambria" w:cs="Cambria" w:eastAsia="Cambria" w:hAnsi="Cambria"/>
          <w:color w:val="2e75b5"/>
          <w:sz w:val="22"/>
          <w:szCs w:val="22"/>
        </w:rPr>
      </w:pPr>
      <w:r w:rsidDel="00000000" w:rsidR="00000000" w:rsidRPr="00000000">
        <w:rPr>
          <w:rFonts w:ascii="Cambria" w:cs="Cambria" w:eastAsia="Cambria" w:hAnsi="Cambria"/>
          <w:color w:val="2e75b5"/>
          <w:sz w:val="22"/>
          <w:szCs w:val="22"/>
          <w:rtl w:val="0"/>
        </w:rPr>
        <w:t xml:space="preserve">ПО НОРМОТВОРЧЕСКИМ ИНИЦИАТИВАМ ГОСУДАРСТВЕННЫХ ОРГАНОВ, КОТОРЫЕ МОГУТ ОКАЗАТЬ ВЛИЯНИЕ НА ГРАЖДАНСКИЕ ПРАВА И ПРАВОВУЮ СРЕДУ ДЛЯ ДЕЯТЕЛЬНОСТИ ОРГАНИЗАЦИЙ ГРАЖДАНСКОГО ОБЩЕСТВА </w:t>
      </w:r>
    </w:p>
    <w:p w:rsidR="00000000" w:rsidDel="00000000" w:rsidP="00000000" w:rsidRDefault="00000000" w:rsidRPr="00000000" w14:paraId="00000004">
      <w:pPr>
        <w:spacing w:after="120" w:line="276" w:lineRule="auto"/>
        <w:ind w:firstLine="720"/>
        <w:jc w:val="center"/>
        <w:rPr>
          <w:rFonts w:ascii="Cambria" w:cs="Cambria" w:eastAsia="Cambria" w:hAnsi="Cambria"/>
          <w:color w:val="2e75b5"/>
          <w:sz w:val="22"/>
          <w:szCs w:val="22"/>
        </w:rPr>
      </w:pPr>
      <w:r w:rsidDel="00000000" w:rsidR="00000000" w:rsidRPr="00000000">
        <w:rPr>
          <w:rFonts w:ascii="Cambria" w:cs="Cambria" w:eastAsia="Cambria" w:hAnsi="Cambria"/>
          <w:color w:val="2e75b5"/>
          <w:sz w:val="22"/>
          <w:szCs w:val="22"/>
          <w:rtl w:val="0"/>
        </w:rPr>
        <w:t xml:space="preserve">15 января 2025 года</w:t>
      </w:r>
    </w:p>
    <w:p w:rsidR="00000000" w:rsidDel="00000000" w:rsidP="00000000" w:rsidRDefault="00000000" w:rsidRPr="00000000" w14:paraId="00000005">
      <w:pPr>
        <w:spacing w:after="120" w:line="276" w:lineRule="auto"/>
        <w:ind w:firstLine="720"/>
        <w:jc w:val="cente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0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09"/>
        <w:jc w:val="left"/>
        <w:rPr>
          <w:rFonts w:ascii="Cambria" w:cs="Cambria" w:eastAsia="Cambria" w:hAnsi="Cambria"/>
          <w:b w:val="0"/>
          <w:bCs w:val="0"/>
          <w:i w:val="0"/>
          <w:iCs w:val="0"/>
          <w:smallCaps w:val="0"/>
          <w:strike w:val="0"/>
          <w:color w:val="2e75b5"/>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2e75b5"/>
          <w:sz w:val="22"/>
          <w:szCs w:val="22"/>
          <w:u w:val="none"/>
          <w:shd w:fill="auto" w:val="clear"/>
          <w:vertAlign w:val="baseline"/>
          <w:rtl w:val="0"/>
        </w:rPr>
        <w:t xml:space="preserve">Оглавление</w:t>
      </w:r>
    </w:p>
    <w:sdt>
      <w:sdtPr>
        <w:id w:val="-2079807134"/>
        <w:docPartObj>
          <w:docPartGallery w:val="Table of Contents"/>
          <w:docPartUnique w:val="1"/>
        </w:docPartObj>
      </w:sdtPr>
      <w:sdtContent>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912"/>
            </w:tabs>
            <w:spacing w:after="120" w:before="0" w:line="240" w:lineRule="auto"/>
            <w:ind w:left="709"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30j0zll">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w:t>
            </w:r>
          </w:hyperlink>
          <w:hyperlink w:anchor="_30j0zll">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_30j0zll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Инициирован законопроект об ответственности за нарушение законодательства об информации персонального характера</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912"/>
            </w:tabs>
            <w:spacing w:after="120" w:before="0" w:line="240" w:lineRule="auto"/>
            <w:ind w:left="709"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1fob9te">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2.</w:t>
            </w:r>
          </w:hyperlink>
          <w:hyperlink w:anchor="_1fob9te">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_1fob9te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В Бишкеке продлен запрет на проведение мирных собраний до 31 марта 2025 г.</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912"/>
            </w:tabs>
            <w:spacing w:after="120" w:before="0" w:line="240" w:lineRule="auto"/>
            <w:ind w:left="709"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3znysh7">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3.</w:t>
            </w:r>
          </w:hyperlink>
          <w:hyperlink w:anchor="_3znysh7">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_3znysh7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В городе Ош объявлен прием инициатив, направленных на участие граждан в развитии города, усиление прозрачности и подотчетности в работе администрации города</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912"/>
            </w:tabs>
            <w:spacing w:after="120" w:before="0" w:line="240" w:lineRule="auto"/>
            <w:ind w:left="709"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2et92p0">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w:t>
            </w:r>
          </w:hyperlink>
          <w:hyperlink w:anchor="_2et92p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_2et92p0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Президент подписал Указ «О мерах по уменьшению налоговой нагрузки населения и субъектов предпринимательства и совершенствованию администрирования налогообложения»</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912"/>
            </w:tabs>
            <w:spacing w:after="120" w:before="0" w:line="240" w:lineRule="auto"/>
            <w:ind w:left="709" w:right="0" w:hanging="283"/>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tyjcwt">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w:t>
            </w:r>
          </w:hyperlink>
          <w:hyperlink w:anchor="_tyjcwt">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_tyjcwt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В Закон КР «О защите прав предпринимателей» внесены изменения</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851" w:right="0" w:hanging="425"/>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D">
      <w:pPr>
        <w:spacing w:before="120" w:line="276" w:lineRule="auto"/>
        <w:ind w:left="720" w:firstLine="0"/>
        <w:rPr>
          <w:rFonts w:ascii="Cambria" w:cs="Cambria" w:eastAsia="Cambria" w:hAnsi="Cambria"/>
          <w:i w:val="1"/>
          <w:iCs w:val="1"/>
          <w:color w:val="2e75b5"/>
          <w:sz w:val="22"/>
          <w:szCs w:val="22"/>
        </w:rPr>
      </w:pPr>
      <w:bookmarkStart w:colFirst="0" w:colLast="0" w:name="_gjdgxs" w:id="0"/>
      <w:bookmarkEnd w:id="0"/>
      <w:r w:rsidDel="00000000" w:rsidR="00000000" w:rsidRPr="00000000">
        <w:rPr>
          <w:rFonts w:ascii="Cambria" w:cs="Cambria" w:eastAsia="Cambria" w:hAnsi="Cambria"/>
          <w:i w:val="1"/>
          <w:iCs w:val="1"/>
          <w:sz w:val="22"/>
          <w:szCs w:val="22"/>
          <w:rtl w:val="0"/>
        </w:rPr>
        <w:t xml:space="preserve">Ознакомиться со всеми предыдущими выпусками информационных бюллетеней на кыргызском и русском языках можно </w:t>
      </w:r>
      <w:hyperlink r:id="rId7">
        <w:r w:rsidDel="00000000" w:rsidR="00000000" w:rsidRPr="00000000">
          <w:rPr>
            <w:rFonts w:ascii="Cambria" w:cs="Cambria" w:eastAsia="Cambria" w:hAnsi="Cambria"/>
            <w:i w:val="1"/>
            <w:iCs w:val="1"/>
            <w:color w:val="0563c1"/>
            <w:sz w:val="22"/>
            <w:szCs w:val="22"/>
            <w:u w:val="single"/>
            <w:rtl w:val="0"/>
          </w:rPr>
          <w:t xml:space="preserve">здесь</w:t>
        </w:r>
      </w:hyperlink>
      <w:r w:rsidDel="00000000" w:rsidR="00000000" w:rsidRPr="00000000">
        <w:rPr>
          <w:rFonts w:ascii="Cambria" w:cs="Cambria" w:eastAsia="Cambria" w:hAnsi="Cambria"/>
          <w:i w:val="1"/>
          <w:iCs w:val="1"/>
          <w:color w:val="2e75b5"/>
          <w:sz w:val="22"/>
          <w:szCs w:val="22"/>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0E">
      <w:pPr>
        <w:pStyle w:val="Heading3"/>
        <w:numPr>
          <w:ilvl w:val="0"/>
          <w:numId w:val="1"/>
        </w:numPr>
        <w:spacing w:before="0" w:line="276" w:lineRule="auto"/>
        <w:ind w:left="1168" w:hanging="357"/>
        <w:jc w:val="both"/>
        <w:rPr/>
      </w:pPr>
      <w:bookmarkStart w:colFirst="0" w:colLast="0" w:name="_30j0zll" w:id="1"/>
      <w:bookmarkEnd w:id="1"/>
      <w:r w:rsidDel="00000000" w:rsidR="00000000" w:rsidRPr="00000000">
        <w:rPr>
          <w:rFonts w:ascii="Cambria" w:cs="Cambria" w:eastAsia="Cambria" w:hAnsi="Cambria"/>
          <w:sz w:val="22"/>
          <w:szCs w:val="22"/>
          <w:rtl w:val="0"/>
        </w:rPr>
        <w:t xml:space="preserve">Инициирован законопроект об ответственности за нарушение законодательства об информации персонального характера</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24 декабря 2024 г. на сайте Жогорку Кенеша был зарегистрирован проект Закона КР «О внесении изменений в Кодекс Кыргызской Республики о правонарушениях» (далее – законопроект), инициатором которого является Кабинет Министров.</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Законопроект разработан в целях реализации Закона КР «Об информации персонального характера» от 14 апреля 2008 года № 58, в котором есть нормы об ответственности за нарушение требований законодательства о персональных данных.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Закон («Об информации персонального характера») предусматривает наступление юридической ответственности за неисполнение требований по защите персональных данных, что подразумевает наличие по меньшей мере административных санкций за неисполнение требований или нарушение законодательства. Однако до сегодняшнего дня в законодательстве Кыргызской Республики отсутствуют нормы, устанавливающие ответственность лиц, виновных в нарушении законодательства об информации персонального характера. Тем самым, государственные институты лишены достаточных правовых инструментов обеспечения законности в области защиты прав и свобод человека в сфере персональных данных</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 отмечается в справке-обосновании к законопроекту.</w:t>
      </w:r>
    </w:p>
    <w:p w:rsidR="00000000" w:rsidDel="00000000" w:rsidP="00000000" w:rsidRDefault="00000000" w:rsidRPr="00000000" w14:paraId="00000013">
      <w:pPr>
        <w:spacing w:after="120" w:line="276" w:lineRule="auto"/>
        <w:ind w:firstLine="851"/>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Законопроектом предлагается дополнить Кодекс КР о правонарушениях статьями, устанавливающими ответственность за:</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993"/>
        </w:tabs>
        <w:spacing w:after="120" w:line="276" w:lineRule="auto"/>
        <w:ind w:firstLine="851"/>
        <w:jc w:val="both"/>
        <w:rPr>
          <w:rFonts w:ascii="Cambria" w:cs="Cambria" w:eastAsia="Cambria" w:hAnsi="Cambria"/>
          <w:i w:val="1"/>
          <w:iCs w:val="1"/>
          <w:sz w:val="22"/>
          <w:szCs w:val="22"/>
        </w:rPr>
      </w:pPr>
      <w:r w:rsidDel="00000000" w:rsidR="00000000" w:rsidRPr="00000000">
        <w:rPr>
          <w:rFonts w:ascii="Cambria" w:cs="Cambria" w:eastAsia="Cambria" w:hAnsi="Cambria"/>
          <w:i w:val="1"/>
          <w:iCs w:val="1"/>
          <w:sz w:val="22"/>
          <w:szCs w:val="22"/>
          <w:rtl w:val="0"/>
        </w:rPr>
        <w:t xml:space="preserve">- сбор, обработку, использование, хранение, передачу, включая обмен, персональных данных без законного основания;</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993"/>
        </w:tabs>
        <w:spacing w:after="120" w:line="276" w:lineRule="auto"/>
        <w:ind w:firstLine="851"/>
        <w:jc w:val="both"/>
        <w:rPr>
          <w:rFonts w:ascii="Cambria" w:cs="Cambria" w:eastAsia="Cambria" w:hAnsi="Cambria"/>
          <w:i w:val="1"/>
          <w:iCs w:val="1"/>
          <w:sz w:val="22"/>
          <w:szCs w:val="22"/>
        </w:rPr>
      </w:pPr>
      <w:r w:rsidDel="00000000" w:rsidR="00000000" w:rsidRPr="00000000">
        <w:rPr>
          <w:rFonts w:ascii="Cambria" w:cs="Cambria" w:eastAsia="Cambria" w:hAnsi="Cambria"/>
          <w:i w:val="1"/>
          <w:iCs w:val="1"/>
          <w:sz w:val="22"/>
          <w:szCs w:val="22"/>
          <w:rtl w:val="0"/>
        </w:rPr>
        <w:t xml:space="preserve">- необоснованный отказ в предоставлении субъекту персональных данных информации, касающейся обработки его персональных данных; </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993"/>
        </w:tabs>
        <w:spacing w:after="120" w:line="276" w:lineRule="auto"/>
        <w:ind w:firstLine="851"/>
        <w:jc w:val="both"/>
        <w:rPr>
          <w:rFonts w:ascii="Cambria" w:cs="Cambria" w:eastAsia="Cambria" w:hAnsi="Cambria"/>
          <w:i w:val="1"/>
          <w:iCs w:val="1"/>
          <w:sz w:val="22"/>
          <w:szCs w:val="22"/>
        </w:rPr>
      </w:pPr>
      <w:r w:rsidDel="00000000" w:rsidR="00000000" w:rsidRPr="00000000">
        <w:rPr>
          <w:rFonts w:ascii="Cambria" w:cs="Cambria" w:eastAsia="Cambria" w:hAnsi="Cambria"/>
          <w:i w:val="1"/>
          <w:iCs w:val="1"/>
          <w:sz w:val="22"/>
          <w:szCs w:val="22"/>
          <w:rtl w:val="0"/>
        </w:rPr>
        <w:t xml:space="preserve">- трансграничная передача персональных данных с нарушением установленного законом порядка;</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993"/>
        </w:tabs>
        <w:spacing w:after="120" w:line="276" w:lineRule="auto"/>
        <w:ind w:firstLine="851"/>
        <w:jc w:val="both"/>
        <w:rPr>
          <w:rFonts w:ascii="Cambria" w:cs="Cambria" w:eastAsia="Cambria" w:hAnsi="Cambria"/>
          <w:i w:val="1"/>
          <w:iCs w:val="1"/>
          <w:sz w:val="22"/>
          <w:szCs w:val="22"/>
        </w:rPr>
      </w:pPr>
      <w:r w:rsidDel="00000000" w:rsidR="00000000" w:rsidRPr="00000000">
        <w:rPr>
          <w:rFonts w:ascii="Cambria" w:cs="Cambria" w:eastAsia="Cambria" w:hAnsi="Cambria"/>
          <w:i w:val="1"/>
          <w:iCs w:val="1"/>
          <w:sz w:val="22"/>
          <w:szCs w:val="22"/>
          <w:rtl w:val="0"/>
        </w:rPr>
        <w:t xml:space="preserve">- внесение неполной или недостоверной информации в Реестр держателей (обладателей) массивов персональных данных, а также отсутствие регистрации в Реестре;</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993"/>
        </w:tabs>
        <w:spacing w:after="120" w:line="276" w:lineRule="auto"/>
        <w:ind w:firstLine="851"/>
        <w:jc w:val="both"/>
        <w:rPr>
          <w:rFonts w:ascii="Cambria" w:cs="Cambria" w:eastAsia="Cambria" w:hAnsi="Cambria"/>
          <w:i w:val="1"/>
          <w:iCs w:val="1"/>
          <w:sz w:val="22"/>
          <w:szCs w:val="22"/>
        </w:rPr>
      </w:pPr>
      <w:r w:rsidDel="00000000" w:rsidR="00000000" w:rsidRPr="00000000">
        <w:rPr>
          <w:rFonts w:ascii="Cambria" w:cs="Cambria" w:eastAsia="Cambria" w:hAnsi="Cambria"/>
          <w:i w:val="1"/>
          <w:iCs w:val="1"/>
          <w:sz w:val="22"/>
          <w:szCs w:val="22"/>
          <w:rtl w:val="0"/>
        </w:rPr>
        <w:t xml:space="preserve">- нарушение сбора, обработки и хранения персональных данных без использования средств автоматизации.</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Законопроект также предоставляет полномочия уполномоченному государственному органу по персональным данным рассматривать дела о правонарушениях и налагать взыскания, предусмотренные новыми статьями Кодекса КР о правонарушениях.</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Ознакомиться с текстом законопроекта и сопроводительными документами к нему можно </w:t>
      </w:r>
      <w:hyperlink r:id="rId8">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здесь</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3"/>
        <w:numPr>
          <w:ilvl w:val="0"/>
          <w:numId w:val="1"/>
        </w:numPr>
        <w:spacing w:after="120" w:before="0" w:line="276" w:lineRule="auto"/>
        <w:ind w:left="1168" w:hanging="357"/>
        <w:jc w:val="both"/>
        <w:rPr/>
      </w:pPr>
      <w:bookmarkStart w:colFirst="0" w:colLast="0" w:name="_1fob9te" w:id="2"/>
      <w:bookmarkEnd w:id="2"/>
      <w:r w:rsidDel="00000000" w:rsidR="00000000" w:rsidRPr="00000000">
        <w:rPr>
          <w:rFonts w:ascii="Cambria" w:cs="Cambria" w:eastAsia="Cambria" w:hAnsi="Cambria"/>
          <w:sz w:val="22"/>
          <w:szCs w:val="22"/>
          <w:rtl w:val="0"/>
        </w:rPr>
        <w:t xml:space="preserve">В Бишкеке продлен запрет на проведение мирных собраний до 31 марта 2025 г.</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27 декабря 2024 г. Первомайский районный суд г. Бишкек </w:t>
      </w:r>
      <w:hyperlink r:id="rId9">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продлил</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запрет на проведение мирных собраний в центре города Бишкек до 31 марта 2025 г. Данную информацию новостному порталу «Kaktus.media» подтвердили в пресс-службе Первомайского районного суда столицы.</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Напомним, впервые запрет на проведение митингов был введён в марте 2022 года и с тех пор неоднократно продлевался судом.</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Мирные собрания по-прежнему нельзя проводить:</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на площади Ала-Тоо;</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на бульваре Эркиндик от улицы Линейной до проспекта Чуй;</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возле здания Жогорку Кенеша;</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в парке им. Панфилова;</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возле старого здания администрации Президента;</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на территории сквера им. Турсунбаевой;</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возле Верховного суда;</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возле посольства России;</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возле зданий ГКНБ и МВД.</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Запрет не касается официальных мероприятий, организуемых государственными и муниципальными органами, а все остальные митинги допускаются исключительно в сквере имени Горького.</w:t>
      </w:r>
    </w:p>
    <w:p w:rsidR="00000000" w:rsidDel="00000000" w:rsidP="00000000" w:rsidRDefault="00000000" w:rsidRPr="00000000" w14:paraId="0000002A">
      <w:pPr>
        <w:spacing w:line="276" w:lineRule="auto"/>
        <w:ind w:firstLine="646"/>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Ранее, правозащитные организации неоднократно отмечали, что указанный запрет противоречит </w:t>
      </w:r>
      <w:hyperlink r:id="rId10">
        <w:r w:rsidDel="00000000" w:rsidR="00000000" w:rsidRPr="00000000">
          <w:rPr>
            <w:rFonts w:ascii="Cambria" w:cs="Cambria" w:eastAsia="Cambria" w:hAnsi="Cambria"/>
            <w:color w:val="0563c1"/>
            <w:sz w:val="22"/>
            <w:szCs w:val="22"/>
            <w:u w:val="single"/>
            <w:rtl w:val="0"/>
          </w:rPr>
          <w:t xml:space="preserve">Конституции Кыргызской Республики</w:t>
        </w:r>
      </w:hyperlink>
      <w:r w:rsidDel="00000000" w:rsidR="00000000" w:rsidRPr="00000000">
        <w:rPr>
          <w:rFonts w:ascii="Cambria" w:cs="Cambria" w:eastAsia="Cambria" w:hAnsi="Cambria"/>
          <w:sz w:val="22"/>
          <w:szCs w:val="22"/>
          <w:rtl w:val="0"/>
        </w:rPr>
        <w:t xml:space="preserve">, которая гарантирует каждому право на свободу мирных собраний.</w:t>
      </w:r>
    </w:p>
    <w:p w:rsidR="00000000" w:rsidDel="00000000" w:rsidP="00000000" w:rsidRDefault="00000000" w:rsidRPr="00000000" w14:paraId="0000002B">
      <w:pPr>
        <w:spacing w:line="276" w:lineRule="auto"/>
        <w:ind w:firstLine="646"/>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C">
      <w:pPr>
        <w:pStyle w:val="Heading3"/>
        <w:numPr>
          <w:ilvl w:val="0"/>
          <w:numId w:val="1"/>
        </w:numPr>
        <w:spacing w:after="120" w:before="0" w:line="276" w:lineRule="auto"/>
        <w:ind w:left="1168" w:hanging="357"/>
        <w:jc w:val="both"/>
        <w:rPr/>
      </w:pPr>
      <w:bookmarkStart w:colFirst="0" w:colLast="0" w:name="_3znysh7" w:id="3"/>
      <w:bookmarkEnd w:id="3"/>
      <w:r w:rsidDel="00000000" w:rsidR="00000000" w:rsidRPr="00000000">
        <w:rPr>
          <w:rFonts w:ascii="Cambria" w:cs="Cambria" w:eastAsia="Cambria" w:hAnsi="Cambria"/>
          <w:sz w:val="22"/>
          <w:szCs w:val="22"/>
          <w:rtl w:val="0"/>
        </w:rPr>
        <w:t xml:space="preserve">В городе Ош объявлен прием инициатив, направленных на участие граждан в развитии города, усиление прозрачности и подотчетности в работе администрации города</w:t>
      </w:r>
    </w:p>
    <w:p w:rsidR="00000000" w:rsidDel="00000000" w:rsidP="00000000" w:rsidRDefault="00000000" w:rsidRPr="00000000" w14:paraId="0000002D">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30 декабря 2024 г. Комитет «Открытый Ош», созданный Мэрией г. Ош и представителями организаций гражданского общества (далее - ОГО) г. Ош, в целях реализации конституционного права граждан участвовать в решении вопросов местного значения, на своей </w:t>
      </w:r>
      <w:hyperlink r:id="rId11">
        <w:r w:rsidDel="00000000" w:rsidR="00000000" w:rsidRPr="00000000">
          <w:rPr>
            <w:rFonts w:ascii="Cambria" w:cs="Cambria" w:eastAsia="Cambria" w:hAnsi="Cambria"/>
            <w:color w:val="0563c1"/>
            <w:sz w:val="22"/>
            <w:szCs w:val="22"/>
            <w:u w:val="single"/>
            <w:rtl w:val="0"/>
          </w:rPr>
          <w:t xml:space="preserve">странице</w:t>
        </w:r>
      </w:hyperlink>
      <w:r w:rsidDel="00000000" w:rsidR="00000000" w:rsidRPr="00000000">
        <w:rPr>
          <w:rFonts w:ascii="Cambria" w:cs="Cambria" w:eastAsia="Cambria" w:hAnsi="Cambria"/>
          <w:sz w:val="22"/>
          <w:szCs w:val="22"/>
          <w:rtl w:val="0"/>
        </w:rPr>
        <w:t xml:space="preserve"> в Facebook объявил среди жителей и представителей ОГО г. Ош прием инициатив, направленных на участие граждан в развитии города, усиление прозрачности и подотчетности в работе администрации города.</w:t>
      </w:r>
    </w:p>
    <w:p w:rsidR="00000000" w:rsidDel="00000000" w:rsidP="00000000" w:rsidRDefault="00000000" w:rsidRPr="00000000" w14:paraId="0000002E">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Инициативы должны соответствовать следующим требованиям:</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усиливать прозрачность работы мэрии и городских служб, усиливать подотчетность органов местного самоуправления перед горожанами; создавать платформы или механизмы взаимодействия между городским управлением и горожанами для совместного принятия важных для горожан решений;</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содержать наименование структурного подразделения (партнера) органа управления городом, городской службы, для реализации указанной в инициативе задачи;</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отвечать приоритетам Программы социально-экономического развития города Ош;</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1134"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описывать конкретные результаты от реализации инициативы для горожан.</w:t>
      </w:r>
    </w:p>
    <w:p w:rsidR="00000000" w:rsidDel="00000000" w:rsidP="00000000" w:rsidRDefault="00000000" w:rsidRPr="00000000" w14:paraId="00000033">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Инициативы, направленные на смягчение последствий изменения климата и внедрение цифровых технологий в управлении будут иметь преимущества при их рассмотрении.</w:t>
      </w:r>
    </w:p>
    <w:p w:rsidR="00000000" w:rsidDel="00000000" w:rsidP="00000000" w:rsidRDefault="00000000" w:rsidRPr="00000000" w14:paraId="00000034">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Инициативы могут подавать физические и юридические лица, готовые принимать участие в реализации инициативы сроком не более 12 месяцев.</w:t>
      </w:r>
    </w:p>
    <w:p w:rsidR="00000000" w:rsidDel="00000000" w:rsidP="00000000" w:rsidRDefault="00000000" w:rsidRPr="00000000" w14:paraId="00000035">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В случае возникновения вопросов по содержательной части местных инициатив, заинтересованные лица могут обращаться к Сатыбекову Бакыту по телефону 0 559 74 55 74 или по эл. почте b.satybekov@gmail.com</w:t>
      </w:r>
    </w:p>
    <w:p w:rsidR="00000000" w:rsidDel="00000000" w:rsidP="00000000" w:rsidRDefault="00000000" w:rsidRPr="00000000" w14:paraId="00000036">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Подать инициативу можно онлайн по ссылке: </w:t>
      </w:r>
      <w:hyperlink r:id="rId12">
        <w:r w:rsidDel="00000000" w:rsidR="00000000" w:rsidRPr="00000000">
          <w:rPr>
            <w:rFonts w:ascii="Cambria" w:cs="Cambria" w:eastAsia="Cambria" w:hAnsi="Cambria"/>
            <w:color w:val="0563c1"/>
            <w:sz w:val="22"/>
            <w:szCs w:val="22"/>
            <w:u w:val="single"/>
            <w:rtl w:val="0"/>
          </w:rPr>
          <w:t xml:space="preserve">http://www.ogp.el.kg/ru/podat-iniciativu</w:t>
        </w:r>
      </w:hyperlink>
      <w:r w:rsidDel="00000000" w:rsidR="00000000" w:rsidRPr="00000000">
        <w:rPr>
          <w:rFonts w:ascii="Cambria" w:cs="Cambria" w:eastAsia="Cambria" w:hAnsi="Cambria"/>
          <w:sz w:val="22"/>
          <w:szCs w:val="22"/>
          <w:rtl w:val="0"/>
        </w:rPr>
        <w:t xml:space="preserve"> до 15 января 2025 г.</w:t>
      </w:r>
    </w:p>
    <w:p w:rsidR="00000000" w:rsidDel="00000000" w:rsidP="00000000" w:rsidRDefault="00000000" w:rsidRPr="00000000" w14:paraId="00000037">
      <w:pPr>
        <w:spacing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Наиболее подходящие городские инициативы будут включены в План совместных действий Комитета «Открытый Ош».</w:t>
      </w:r>
    </w:p>
    <w:p w:rsidR="00000000" w:rsidDel="00000000" w:rsidP="00000000" w:rsidRDefault="00000000" w:rsidRPr="00000000" w14:paraId="00000038">
      <w:pPr>
        <w:spacing w:line="276" w:lineRule="auto"/>
        <w:ind w:firstLine="720"/>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9">
      <w:pPr>
        <w:pStyle w:val="Heading3"/>
        <w:numPr>
          <w:ilvl w:val="0"/>
          <w:numId w:val="1"/>
        </w:numPr>
        <w:spacing w:after="120" w:line="276" w:lineRule="auto"/>
        <w:ind w:left="1168" w:hanging="357"/>
        <w:jc w:val="both"/>
        <w:rPr/>
      </w:pPr>
      <w:bookmarkStart w:colFirst="0" w:colLast="0" w:name="_2et92p0" w:id="4"/>
      <w:bookmarkEnd w:id="4"/>
      <w:r w:rsidDel="00000000" w:rsidR="00000000" w:rsidRPr="00000000">
        <w:rPr>
          <w:rFonts w:ascii="Cambria" w:cs="Cambria" w:eastAsia="Cambria" w:hAnsi="Cambria"/>
          <w:sz w:val="22"/>
          <w:szCs w:val="22"/>
          <w:rtl w:val="0"/>
        </w:rPr>
        <w:t xml:space="preserve">Президент подписал Указ «О мерах по уменьшению налоговой нагрузки населения и субъектов предпринимательства и совершенствованию администрирования налогообложения»</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8 января 2024 г. Президент КР Садыр Жапаров </w:t>
      </w:r>
      <w:hyperlink r:id="rId13">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подписал</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Указ «О мерах по уменьшению налоговой нагрузки населения и субъектов предпринимательства и совершенствованию администрирования налогообложения».</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Указом Кабинету Министров поручено:</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1) в двухмесячный срок:</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а) внести на рассмотрение Жогорку Кенеша проект Закона КР предусматривающий:</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упразднение налога на имущество - транспортное средство;</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освобождение от исполнения налогового обязательства по налогу на имущество - транспортное средство, неисполненного до 1 января 2025 года, в отношении которого отсутствует судебный акт о взыскании;</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установление ставки налога на имущество - сельскохозяйственные угодья - в размере 0 процентов с 1 января 2025 года по 31 декабря 2030 года;</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запрет на проведение налоговых проверок, за исключением внеплановой проверки при ликвидации организации и прекращении деятельности индивидуального предпринимателя, на налоговые периоды до 1 января 2022 года;</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списание налоговой задолженности, признанной налогоплательщиком, возникшей за налоговые периоды до 1 января 2022 года;</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б) в месячный срок внести предложения по определению перечня товаров, при обороте которых применяется электронная товаротранспортная накладная (ЭТТН).</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ab/>
        <w:t xml:space="preserve">Указ вступил в силу в день его официального опубликования в газете «Эркин-Тоо» - 9 января 2025 г.</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Ознакомиться с текстом Указа можно </w:t>
      </w:r>
      <w:hyperlink r:id="rId14">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здесь</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с текстом пояснений Президента КР поданному Указу </w:t>
      </w:r>
      <w:hyperlink r:id="rId15">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здесь</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pStyle w:val="Heading3"/>
        <w:numPr>
          <w:ilvl w:val="0"/>
          <w:numId w:val="1"/>
        </w:numPr>
        <w:spacing w:after="120" w:before="0" w:line="276" w:lineRule="auto"/>
        <w:ind w:left="1168" w:hanging="357"/>
        <w:jc w:val="both"/>
        <w:rPr/>
      </w:pPr>
      <w:bookmarkStart w:colFirst="0" w:colLast="0" w:name="_tyjcwt" w:id="5"/>
      <w:bookmarkEnd w:id="5"/>
      <w:r w:rsidDel="00000000" w:rsidR="00000000" w:rsidRPr="00000000">
        <w:rPr>
          <w:rFonts w:ascii="Cambria" w:cs="Cambria" w:eastAsia="Cambria" w:hAnsi="Cambria"/>
          <w:sz w:val="22"/>
          <w:szCs w:val="22"/>
          <w:rtl w:val="0"/>
        </w:rPr>
        <w:t xml:space="preserve">В Закон КР «О защите прав предпринимателей» внесены изменения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13 января 2025 г. Президент КР подписал Закон КР «О внесении изменения в Закон Кыргызской Республики «О защите прав предпринимателей».</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Законом вводится понятия «</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женское предпринимательство</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и его определение </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в целях усиления государственной поддержки женского предпринимательства, в том числе расширения доступа к финансам и создания условий для повышения уровня занятости женщин в экономике Кыргызской Республики.</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Статья 2 Закона КР «О защите прав предпринимателей» дополнена частью 3 следующего содержания:</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«Женское предпринимательство представляет собой предпринимательскую деятельность, в которой субъектами предпринимательства являются: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 женщина, осуществляющая деятельность в качестве индивидуального предпринимателя;</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 юридическое лицо, осуществляющее коммерческую деятельность и зарегистрированное на территории Кыргызской Республики, в котором женщине (женщинам) принадлежит не менее 51 процента акций или долей участия и не менее 51 процента штатной численности работников составляют женщины».</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Ознакомиться с текстом Закона и сопроводительными документами к нему можно </w:t>
      </w:r>
      <w:hyperlink r:id="rId16">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здесь</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F">
      <w:pPr>
        <w:rPr/>
      </w:pPr>
      <w:r w:rsidDel="00000000" w:rsidR="00000000" w:rsidRPr="00000000">
        <w:rPr>
          <w:rtl w:val="0"/>
        </w:rPr>
      </w:r>
    </w:p>
    <w:sectPr>
      <w:footerReference r:id="rId17" w:type="default"/>
      <w:footerReference r:id="rId18" w:type="first"/>
      <w:pgSz w:h="15840" w:w="12240" w:orient="portrait"/>
      <w:pgMar w:bottom="567" w:top="1135" w:left="1418" w:right="90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790" w:hanging="360"/>
      </w:pPr>
      <w:rPr>
        <w:rFonts w:ascii="Cambria" w:cs="Cambria" w:eastAsia="Cambria" w:hAnsi="Cambria"/>
        <w:b w:val="0"/>
        <w:bCs w:val="0"/>
        <w:i w:val="0"/>
        <w:iCs w:val="0"/>
        <w:color w:val="2f5496"/>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rPr>
      <w:b w:val="1"/>
      <w:bCs w:val="1"/>
      <w:sz w:val="36"/>
      <w:szCs w:val="3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before="40" w:lineRule="auto"/>
    </w:pPr>
    <w:rPr>
      <w:rFonts w:ascii="Calibri" w:cs="Calibri" w:eastAsia="Calibri" w:hAnsi="Calibri"/>
      <w:i w:val="1"/>
      <w:iCs w:val="1"/>
      <w:color w:val="2e75b5"/>
    </w:rPr>
  </w:style>
  <w:style w:type="paragraph" w:styleId="Heading5">
    <w:name w:val="heading 5"/>
    <w:basedOn w:val="Normal"/>
    <w:next w:val="Normal"/>
    <w:pPr>
      <w:keepNext w:val="1"/>
      <w:keepLines w:val="1"/>
      <w:spacing w:before="40" w:lineRule="auto"/>
    </w:pPr>
    <w:rPr>
      <w:rFonts w:ascii="Calibri" w:cs="Calibri" w:eastAsia="Calibri" w:hAnsi="Calibri"/>
      <w:color w:val="2e75b5"/>
    </w:rPr>
  </w:style>
  <w:style w:type="paragraph" w:styleId="Heading6">
    <w:name w:val="heading 6"/>
    <w:basedOn w:val="Normal"/>
    <w:next w:val="Normal"/>
    <w:pPr>
      <w:keepNext w:val="1"/>
      <w:keepLines w:val="1"/>
      <w:spacing w:before="40" w:lineRule="auto"/>
    </w:pPr>
    <w:rPr>
      <w:rFonts w:ascii="Calibri" w:cs="Calibri" w:eastAsia="Calibri" w:hAnsi="Calibri"/>
      <w:color w:val="1e4d78"/>
    </w:rPr>
  </w:style>
  <w:style w:type="paragraph" w:styleId="Title">
    <w:name w:val="Title"/>
    <w:basedOn w:val="Normal"/>
    <w:next w:val="Normal"/>
    <w:pPr/>
    <w:rPr>
      <w:rFonts w:ascii="Calibri" w:cs="Calibri" w:eastAsia="Calibri" w:hAnsi="Calibri"/>
      <w:sz w:val="56"/>
      <w:szCs w:val="56"/>
    </w:rPr>
  </w:style>
  <w:style w:type="paragraph" w:styleId="Subtitle">
    <w:name w:val="Subtitle"/>
    <w:basedOn w:val="Normal"/>
    <w:next w:val="Normal"/>
    <w:pPr/>
    <w:rPr>
      <w:color w:val="5a5a5a"/>
    </w:rPr>
  </w:style>
</w:styles>
</file>

<file path=word/_rels/document.xml.rels><?xml version="1.0" encoding="UTF-8" standalone="yes"?><Relationships xmlns="http://schemas.openxmlformats.org/package/2006/relationships"><Relationship Id="rId11" Type="http://schemas.openxmlformats.org/officeDocument/2006/relationships/hyperlink" Target="https://www.facebook.com/OshMeriya" TargetMode="External"/><Relationship Id="rId10" Type="http://schemas.openxmlformats.org/officeDocument/2006/relationships/hyperlink" Target="http://cbd.minjust.gov.kg/act/view/ru-ru/112213?cl=ru-ru" TargetMode="External"/><Relationship Id="rId13" Type="http://schemas.openxmlformats.org/officeDocument/2006/relationships/hyperlink" Target="https://president.kg/ru/news/21/26373" TargetMode="External"/><Relationship Id="rId12" Type="http://schemas.openxmlformats.org/officeDocument/2006/relationships/hyperlink" Target="http://www.ogp.el.kg/ru/podat-iniciativ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kaktus.media/doc/515860_zapret_na_mitingi_v_bishkeke_v_ocherednoy_raz_prodlili_sroki.html" TargetMode="External"/><Relationship Id="rId15" Type="http://schemas.openxmlformats.org/officeDocument/2006/relationships/hyperlink" Target="https://www.facebook.com/japarov.sadyr" TargetMode="External"/><Relationship Id="rId14" Type="http://schemas.openxmlformats.org/officeDocument/2006/relationships/hyperlink" Target="https://president.kg/ru/news/21/26373" TargetMode="External"/><Relationship Id="rId17" Type="http://schemas.openxmlformats.org/officeDocument/2006/relationships/footer" Target="footer1.xml"/><Relationship Id="rId16" Type="http://schemas.openxmlformats.org/officeDocument/2006/relationships/hyperlink" Target="https://kenesh.kg/bills/654883" TargetMode="External"/><Relationship Id="rId5" Type="http://schemas.openxmlformats.org/officeDocument/2006/relationships/styles" Target="styles.xml"/><Relationship Id="rId6" Type="http://schemas.openxmlformats.org/officeDocument/2006/relationships/image" Target="media/image1.png"/><Relationship Id="rId18" Type="http://schemas.openxmlformats.org/officeDocument/2006/relationships/footer" Target="footer2.xml"/><Relationship Id="rId7" Type="http://schemas.openxmlformats.org/officeDocument/2006/relationships/hyperlink" Target="https://drive.google.com/drive/folders/1-5tEYinurA_IN1omsKJ9Xanlj_Pd-bn4?usp=drive_link" TargetMode="External"/><Relationship Id="rId8" Type="http://schemas.openxmlformats.org/officeDocument/2006/relationships/hyperlink" Target="https://www.kenesh.kg/bills/66111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6b36a958e77e425c7cd55351a1eb62c8c09a3e93cf1c21db09815d22f502bdad</vt:lpwstr>
  </property>
</Properties>
</file>