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B7560E" w:rsidTr="00BA184E">
        <w:trPr>
          <w:trHeight w:hRule="exact" w:val="851"/>
        </w:trPr>
        <w:tc>
          <w:tcPr>
            <w:tcW w:w="1276" w:type="dxa"/>
            <w:tcBorders>
              <w:bottom w:val="single" w:sz="4" w:space="0" w:color="auto"/>
            </w:tcBorders>
          </w:tcPr>
          <w:p w:rsidR="00057BC0" w:rsidRPr="00B7560E" w:rsidRDefault="00057BC0" w:rsidP="00C717E0">
            <w:pPr>
              <w:rPr>
                <w:lang w:val="fr-CA"/>
              </w:rPr>
            </w:pPr>
          </w:p>
        </w:tc>
        <w:tc>
          <w:tcPr>
            <w:tcW w:w="2268" w:type="dxa"/>
            <w:tcBorders>
              <w:bottom w:val="single" w:sz="4" w:space="0" w:color="auto"/>
            </w:tcBorders>
            <w:vAlign w:val="bottom"/>
          </w:tcPr>
          <w:p w:rsidR="00057BC0" w:rsidRPr="00B7560E" w:rsidRDefault="00057BC0" w:rsidP="00C717E0">
            <w:pPr>
              <w:spacing w:after="80" w:line="300" w:lineRule="exact"/>
              <w:rPr>
                <w:sz w:val="28"/>
                <w:lang w:val="fr-CA"/>
              </w:rPr>
            </w:pPr>
            <w:r w:rsidRPr="00B7560E">
              <w:rPr>
                <w:sz w:val="28"/>
                <w:lang w:val="fr-CA"/>
              </w:rPr>
              <w:t>Nations Unies</w:t>
            </w:r>
          </w:p>
        </w:tc>
        <w:tc>
          <w:tcPr>
            <w:tcW w:w="6095" w:type="dxa"/>
            <w:gridSpan w:val="2"/>
            <w:tcBorders>
              <w:bottom w:val="single" w:sz="4" w:space="0" w:color="auto"/>
            </w:tcBorders>
            <w:vAlign w:val="bottom"/>
          </w:tcPr>
          <w:p w:rsidR="00057BC0" w:rsidRPr="00B7560E" w:rsidRDefault="00C317E1" w:rsidP="00C317E1">
            <w:pPr>
              <w:jc w:val="right"/>
              <w:rPr>
                <w:lang w:val="fr-CA"/>
              </w:rPr>
            </w:pPr>
            <w:r w:rsidRPr="00B7560E">
              <w:rPr>
                <w:sz w:val="40"/>
                <w:lang w:val="fr-CA"/>
              </w:rPr>
              <w:t>A</w:t>
            </w:r>
            <w:r w:rsidRPr="00B7560E">
              <w:rPr>
                <w:lang w:val="fr-CA"/>
              </w:rPr>
              <w:t>/HRC/</w:t>
            </w:r>
            <w:r w:rsidR="00D94BD5" w:rsidRPr="00B7560E">
              <w:rPr>
                <w:lang w:val="fr-CA"/>
              </w:rPr>
              <w:t>22/28</w:t>
            </w:r>
          </w:p>
        </w:tc>
      </w:tr>
      <w:tr w:rsidR="00057BC0" w:rsidRPr="00B7560E" w:rsidTr="00C717E0">
        <w:trPr>
          <w:trHeight w:hRule="exact" w:val="2835"/>
        </w:trPr>
        <w:tc>
          <w:tcPr>
            <w:tcW w:w="1276" w:type="dxa"/>
            <w:tcBorders>
              <w:top w:val="single" w:sz="4" w:space="0" w:color="auto"/>
              <w:bottom w:val="single" w:sz="12" w:space="0" w:color="auto"/>
            </w:tcBorders>
          </w:tcPr>
          <w:p w:rsidR="00057BC0" w:rsidRPr="00B7560E" w:rsidRDefault="00531A6F" w:rsidP="00C717E0">
            <w:pPr>
              <w:spacing w:before="120"/>
              <w:jc w:val="center"/>
              <w:rPr>
                <w:lang w:val="fr-CA"/>
              </w:rPr>
            </w:pPr>
            <w:r>
              <w:rPr>
                <w:noProof/>
                <w:lang w:val="en-US"/>
              </w:rPr>
              <w:drawing>
                <wp:inline distT="0" distB="0" distL="0" distR="0">
                  <wp:extent cx="711200" cy="590550"/>
                  <wp:effectExtent l="0" t="0" r="0"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057BC0" w:rsidRPr="00B7560E" w:rsidRDefault="00057BC0" w:rsidP="00C717E0">
            <w:pPr>
              <w:spacing w:before="120" w:line="420" w:lineRule="exact"/>
              <w:rPr>
                <w:b/>
                <w:sz w:val="40"/>
                <w:szCs w:val="40"/>
                <w:lang w:val="fr-CA"/>
              </w:rPr>
            </w:pPr>
            <w:r w:rsidRPr="00B7560E">
              <w:rPr>
                <w:b/>
                <w:sz w:val="40"/>
                <w:szCs w:val="40"/>
                <w:lang w:val="fr-CA"/>
              </w:rPr>
              <w:t>Assemblée générale</w:t>
            </w:r>
          </w:p>
        </w:tc>
        <w:tc>
          <w:tcPr>
            <w:tcW w:w="2835" w:type="dxa"/>
            <w:tcBorders>
              <w:top w:val="single" w:sz="4" w:space="0" w:color="auto"/>
              <w:bottom w:val="single" w:sz="12" w:space="0" w:color="auto"/>
            </w:tcBorders>
          </w:tcPr>
          <w:p w:rsidR="00C317E1" w:rsidRPr="00B7560E" w:rsidRDefault="00C317E1" w:rsidP="00C717E0">
            <w:pPr>
              <w:spacing w:before="240"/>
              <w:rPr>
                <w:lang w:val="fr-CA"/>
              </w:rPr>
            </w:pPr>
            <w:proofErr w:type="spellStart"/>
            <w:r w:rsidRPr="00B7560E">
              <w:rPr>
                <w:lang w:val="fr-CA"/>
              </w:rPr>
              <w:t>Distr</w:t>
            </w:r>
            <w:proofErr w:type="spellEnd"/>
            <w:r w:rsidRPr="00B7560E">
              <w:rPr>
                <w:lang w:val="fr-CA"/>
              </w:rPr>
              <w:t>.</w:t>
            </w:r>
            <w:r w:rsidR="004D0950">
              <w:rPr>
                <w:lang w:val="fr-CA"/>
              </w:rPr>
              <w:t xml:space="preserve"> : </w:t>
            </w:r>
            <w:r w:rsidRPr="00B7560E">
              <w:rPr>
                <w:lang w:val="fr-CA"/>
              </w:rPr>
              <w:t>générale</w:t>
            </w:r>
          </w:p>
          <w:p w:rsidR="00C317E1" w:rsidRPr="00B7560E" w:rsidRDefault="00D94BD5" w:rsidP="00C317E1">
            <w:pPr>
              <w:spacing w:line="240" w:lineRule="exact"/>
              <w:rPr>
                <w:lang w:val="fr-CA"/>
              </w:rPr>
            </w:pPr>
            <w:r w:rsidRPr="00B7560E">
              <w:rPr>
                <w:lang w:val="fr-CA"/>
              </w:rPr>
              <w:t xml:space="preserve">21 janvier </w:t>
            </w:r>
            <w:r w:rsidR="00C317E1" w:rsidRPr="00B7560E">
              <w:rPr>
                <w:lang w:val="fr-CA"/>
              </w:rPr>
              <w:t>2013</w:t>
            </w:r>
          </w:p>
          <w:p w:rsidR="00C317E1" w:rsidRPr="00B7560E" w:rsidRDefault="00C317E1" w:rsidP="004D0950">
            <w:pPr>
              <w:spacing w:before="240" w:line="240" w:lineRule="exact"/>
              <w:rPr>
                <w:lang w:val="fr-CA"/>
              </w:rPr>
            </w:pPr>
            <w:r w:rsidRPr="00B7560E">
              <w:rPr>
                <w:lang w:val="fr-CA"/>
              </w:rPr>
              <w:t>Français</w:t>
            </w:r>
          </w:p>
          <w:p w:rsidR="00057BC0" w:rsidRPr="00B7560E" w:rsidRDefault="00C317E1" w:rsidP="00C317E1">
            <w:pPr>
              <w:spacing w:line="240" w:lineRule="exact"/>
              <w:rPr>
                <w:lang w:val="fr-CA"/>
              </w:rPr>
            </w:pPr>
            <w:r w:rsidRPr="00B7560E">
              <w:rPr>
                <w:lang w:val="fr-CA"/>
              </w:rPr>
              <w:t>Original</w:t>
            </w:r>
            <w:r w:rsidR="00FF26F3">
              <w:rPr>
                <w:lang w:val="fr-CA"/>
              </w:rPr>
              <w:t> </w:t>
            </w:r>
            <w:r w:rsidRPr="00B7560E">
              <w:rPr>
                <w:lang w:val="fr-CA"/>
              </w:rPr>
              <w:t>: anglais</w:t>
            </w:r>
          </w:p>
        </w:tc>
      </w:tr>
    </w:tbl>
    <w:p w:rsidR="00BA184E" w:rsidRPr="00B7560E" w:rsidRDefault="00BA184E" w:rsidP="001B6907">
      <w:pPr>
        <w:spacing w:before="120"/>
        <w:rPr>
          <w:b/>
          <w:sz w:val="24"/>
          <w:szCs w:val="24"/>
          <w:lang w:val="fr-CA"/>
        </w:rPr>
      </w:pPr>
      <w:r w:rsidRPr="00B7560E">
        <w:rPr>
          <w:b/>
          <w:sz w:val="24"/>
          <w:szCs w:val="24"/>
          <w:lang w:val="fr-CA"/>
        </w:rPr>
        <w:t>Conseil des droits de l</w:t>
      </w:r>
      <w:r w:rsidR="001D495C" w:rsidRPr="00B7560E">
        <w:rPr>
          <w:b/>
          <w:sz w:val="24"/>
          <w:szCs w:val="24"/>
          <w:lang w:val="fr-CA"/>
        </w:rPr>
        <w:t>’</w:t>
      </w:r>
      <w:r w:rsidRPr="00B7560E">
        <w:rPr>
          <w:b/>
          <w:sz w:val="24"/>
          <w:szCs w:val="24"/>
          <w:lang w:val="fr-CA"/>
        </w:rPr>
        <w:t>homme</w:t>
      </w:r>
    </w:p>
    <w:p w:rsidR="00896FBA" w:rsidRPr="00B7560E" w:rsidRDefault="00896FBA" w:rsidP="00896FBA">
      <w:pPr>
        <w:spacing w:line="240" w:lineRule="auto"/>
        <w:rPr>
          <w:b/>
          <w:lang w:val="fr-CA"/>
        </w:rPr>
      </w:pPr>
      <w:r w:rsidRPr="00B7560E">
        <w:rPr>
          <w:b/>
          <w:lang w:val="fr-CA"/>
        </w:rPr>
        <w:t>Vingt-</w:t>
      </w:r>
      <w:r w:rsidR="00D94BD5" w:rsidRPr="00B7560E">
        <w:rPr>
          <w:b/>
          <w:lang w:val="fr-CA"/>
        </w:rPr>
        <w:t>deux</w:t>
      </w:r>
      <w:r w:rsidRPr="00B7560E">
        <w:rPr>
          <w:b/>
          <w:lang w:val="fr-CA"/>
        </w:rPr>
        <w:t>ième session</w:t>
      </w:r>
    </w:p>
    <w:p w:rsidR="00896FBA" w:rsidRPr="00B7560E" w:rsidRDefault="00896FBA" w:rsidP="00896FBA">
      <w:pPr>
        <w:spacing w:line="240" w:lineRule="auto"/>
        <w:rPr>
          <w:lang w:val="fr-CA"/>
        </w:rPr>
      </w:pPr>
      <w:r w:rsidRPr="00B7560E">
        <w:rPr>
          <w:lang w:val="fr-CA"/>
        </w:rPr>
        <w:t>Point</w:t>
      </w:r>
      <w:r w:rsidR="00D94BD5" w:rsidRPr="00B7560E">
        <w:rPr>
          <w:lang w:val="fr-CA"/>
        </w:rPr>
        <w:t>s </w:t>
      </w:r>
      <w:r w:rsidRPr="00B7560E">
        <w:rPr>
          <w:lang w:val="fr-CA"/>
        </w:rPr>
        <w:t xml:space="preserve">2 </w:t>
      </w:r>
      <w:r w:rsidR="00D94BD5" w:rsidRPr="00B7560E">
        <w:rPr>
          <w:lang w:val="fr-CA"/>
        </w:rPr>
        <w:t xml:space="preserve">et 3 </w:t>
      </w:r>
      <w:r w:rsidRPr="00B7560E">
        <w:rPr>
          <w:lang w:val="fr-CA"/>
        </w:rPr>
        <w:t>de l</w:t>
      </w:r>
      <w:r w:rsidR="001D495C" w:rsidRPr="00B7560E">
        <w:rPr>
          <w:lang w:val="fr-CA"/>
        </w:rPr>
        <w:t>’</w:t>
      </w:r>
      <w:r w:rsidRPr="00B7560E">
        <w:rPr>
          <w:lang w:val="fr-CA"/>
        </w:rPr>
        <w:t>ordre du jour</w:t>
      </w:r>
    </w:p>
    <w:p w:rsidR="00896FBA" w:rsidRPr="00B7560E" w:rsidRDefault="00896FBA" w:rsidP="00D94BD5">
      <w:pPr>
        <w:spacing w:line="240" w:lineRule="auto"/>
        <w:ind w:right="4536"/>
        <w:rPr>
          <w:lang w:val="fr-CA"/>
        </w:rPr>
      </w:pPr>
      <w:r w:rsidRPr="00B7560E">
        <w:rPr>
          <w:b/>
          <w:lang w:val="fr-CA"/>
        </w:rPr>
        <w:t xml:space="preserve">Rapport annuel </w:t>
      </w:r>
      <w:r w:rsidR="00950D51" w:rsidRPr="00B7560E">
        <w:rPr>
          <w:b/>
          <w:lang w:val="fr-CA"/>
        </w:rPr>
        <w:t>de la Haut-Commissaire</w:t>
      </w:r>
      <w:r w:rsidRPr="00B7560E">
        <w:rPr>
          <w:b/>
          <w:lang w:val="fr-CA"/>
        </w:rPr>
        <w:t xml:space="preserve"> des Nations Unies aux droits de l</w:t>
      </w:r>
      <w:r w:rsidR="001D495C" w:rsidRPr="00B7560E">
        <w:rPr>
          <w:b/>
          <w:lang w:val="fr-CA"/>
        </w:rPr>
        <w:t>’</w:t>
      </w:r>
      <w:r w:rsidRPr="00B7560E">
        <w:rPr>
          <w:b/>
          <w:lang w:val="fr-CA"/>
        </w:rPr>
        <w:t>homme et rapports du Haut-Commissariat et du Secrétaire général</w:t>
      </w:r>
    </w:p>
    <w:p w:rsidR="00D94BD5" w:rsidRPr="00B7560E" w:rsidRDefault="0062519F" w:rsidP="0062519F">
      <w:pPr>
        <w:spacing w:before="240" w:line="240" w:lineRule="auto"/>
        <w:ind w:right="4110"/>
        <w:rPr>
          <w:b/>
          <w:lang w:val="fr-CA"/>
        </w:rPr>
      </w:pPr>
      <w:r w:rsidRPr="00B7560E">
        <w:rPr>
          <w:b/>
          <w:lang w:val="fr-CA"/>
        </w:rPr>
        <w:t>Promotion et protection de tous les droits de l’homme, civils, politiques, économiques, sociaux et culturels, y compris le droit au développement</w:t>
      </w:r>
    </w:p>
    <w:p w:rsidR="00D94BD5" w:rsidRPr="00B7560E" w:rsidRDefault="00D94BD5" w:rsidP="00D94BD5">
      <w:pPr>
        <w:pStyle w:val="HChG"/>
        <w:tabs>
          <w:tab w:val="clear" w:pos="851"/>
        </w:tabs>
        <w:ind w:firstLine="0"/>
        <w:rPr>
          <w:lang w:val="fr-CA"/>
        </w:rPr>
      </w:pPr>
      <w:r w:rsidRPr="00B7560E">
        <w:rPr>
          <w:lang w:val="fr-CA"/>
        </w:rPr>
        <w:t>Mesures efficaces et meilleures pratiques permettant d’assurer la promotion et la protection des droits de l’homme dans le contexte des manifestations pacifiques</w:t>
      </w:r>
    </w:p>
    <w:p w:rsidR="00896FBA" w:rsidRPr="00B7560E" w:rsidRDefault="00896FBA" w:rsidP="00D94BD5">
      <w:pPr>
        <w:pStyle w:val="HChG"/>
        <w:tabs>
          <w:tab w:val="clear" w:pos="851"/>
        </w:tabs>
        <w:ind w:firstLine="0"/>
        <w:rPr>
          <w:lang w:val="fr-CA"/>
        </w:rPr>
      </w:pPr>
      <w:r w:rsidRPr="00B7560E">
        <w:rPr>
          <w:lang w:val="fr-CA"/>
        </w:rPr>
        <w:t xml:space="preserve">Rapport annuel </w:t>
      </w:r>
      <w:r w:rsidR="00950D51" w:rsidRPr="00B7560E">
        <w:rPr>
          <w:lang w:val="fr-CA"/>
        </w:rPr>
        <w:t>de la Haut-Commissaire</w:t>
      </w:r>
      <w:r w:rsidRPr="00B7560E">
        <w:rPr>
          <w:lang w:val="fr-CA"/>
        </w:rPr>
        <w:t xml:space="preserve"> des Nations Unies aux droits de l</w:t>
      </w:r>
      <w:r w:rsidR="001D495C" w:rsidRPr="00B7560E">
        <w:rPr>
          <w:lang w:val="fr-CA"/>
        </w:rPr>
        <w:t>’</w:t>
      </w:r>
      <w:r w:rsidRPr="00B7560E">
        <w:rPr>
          <w:lang w:val="fr-CA"/>
        </w:rPr>
        <w:t>homme</w:t>
      </w:r>
      <w:r w:rsidR="007520AE">
        <w:rPr>
          <w:rStyle w:val="Appelnotedebasdep"/>
        </w:rPr>
        <w:footnoteReference w:id="2"/>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896FBA" w:rsidRPr="00B7560E" w:rsidTr="003760D1">
        <w:trPr>
          <w:jc w:val="center"/>
        </w:trPr>
        <w:tc>
          <w:tcPr>
            <w:tcW w:w="9637" w:type="dxa"/>
            <w:shd w:val="clear" w:color="auto" w:fill="auto"/>
          </w:tcPr>
          <w:p w:rsidR="00896FBA" w:rsidRPr="00B7560E" w:rsidRDefault="00896FBA" w:rsidP="003760D1">
            <w:pPr>
              <w:spacing w:before="240" w:after="120"/>
              <w:ind w:left="255"/>
              <w:rPr>
                <w:i/>
                <w:sz w:val="24"/>
                <w:lang w:val="fr-CA"/>
              </w:rPr>
            </w:pPr>
            <w:r w:rsidRPr="00B7560E">
              <w:rPr>
                <w:i/>
                <w:sz w:val="24"/>
                <w:lang w:val="fr-CA"/>
              </w:rPr>
              <w:t>Résumé</w:t>
            </w:r>
          </w:p>
        </w:tc>
      </w:tr>
      <w:tr w:rsidR="00896FBA" w:rsidRPr="00B7560E" w:rsidTr="003760D1">
        <w:trPr>
          <w:jc w:val="center"/>
        </w:trPr>
        <w:tc>
          <w:tcPr>
            <w:tcW w:w="9637" w:type="dxa"/>
            <w:shd w:val="clear" w:color="auto" w:fill="auto"/>
          </w:tcPr>
          <w:p w:rsidR="00896FBA" w:rsidRPr="00B7560E" w:rsidRDefault="0062519F" w:rsidP="003760D1">
            <w:pPr>
              <w:pStyle w:val="SingleTxtG"/>
              <w:ind w:firstLine="567"/>
              <w:rPr>
                <w:lang w:val="fr-CA"/>
              </w:rPr>
            </w:pPr>
            <w:r w:rsidRPr="00B7560E">
              <w:rPr>
                <w:lang w:val="fr-CA"/>
              </w:rPr>
              <w:t>Le présent rapport est</w:t>
            </w:r>
            <w:r w:rsidR="00896FBA" w:rsidRPr="00B7560E">
              <w:rPr>
                <w:lang w:val="fr-CA"/>
              </w:rPr>
              <w:t xml:space="preserve"> soumis en application de la résolution</w:t>
            </w:r>
            <w:r w:rsidR="00D94BD5" w:rsidRPr="00B7560E">
              <w:rPr>
                <w:lang w:val="fr-CA"/>
              </w:rPr>
              <w:t> 19/35</w:t>
            </w:r>
            <w:r w:rsidR="00896FBA" w:rsidRPr="00B7560E">
              <w:rPr>
                <w:lang w:val="fr-CA"/>
              </w:rPr>
              <w:t xml:space="preserve"> de l</w:t>
            </w:r>
            <w:r w:rsidR="001D495C" w:rsidRPr="00B7560E">
              <w:rPr>
                <w:lang w:val="fr-CA"/>
              </w:rPr>
              <w:t>’</w:t>
            </w:r>
            <w:r w:rsidR="00896FBA" w:rsidRPr="00B7560E">
              <w:rPr>
                <w:lang w:val="fr-CA"/>
              </w:rPr>
              <w:t>Assemblée générale</w:t>
            </w:r>
            <w:r w:rsidRPr="00B7560E">
              <w:rPr>
                <w:lang w:val="fr-CA"/>
              </w:rPr>
              <w:t xml:space="preserve"> priant</w:t>
            </w:r>
            <w:r w:rsidR="00F6159F" w:rsidRPr="00B7560E">
              <w:rPr>
                <w:lang w:val="fr-CA"/>
              </w:rPr>
              <w:t xml:space="preserve"> </w:t>
            </w:r>
            <w:r w:rsidR="00950D51" w:rsidRPr="00B7560E">
              <w:rPr>
                <w:lang w:val="fr-CA"/>
              </w:rPr>
              <w:t>la Haut-Commissaire</w:t>
            </w:r>
            <w:r w:rsidRPr="00B7560E">
              <w:rPr>
                <w:lang w:val="fr-CA"/>
              </w:rPr>
              <w:t xml:space="preserve"> aux droits de l’homme d’établir et de présenter un rapport thématique sur les mesures efficaces et les meilleures pratiques permettant d’assurer la promotion et la protection des droits de l’homme dans le contexte des manifestations pacifiques</w:t>
            </w:r>
            <w:r w:rsidR="00896FBA" w:rsidRPr="00B7560E">
              <w:rPr>
                <w:lang w:val="fr-CA"/>
              </w:rPr>
              <w:t>.</w:t>
            </w:r>
          </w:p>
          <w:p w:rsidR="0062519F" w:rsidRPr="00B7560E" w:rsidRDefault="008F0300" w:rsidP="003760D1">
            <w:pPr>
              <w:pStyle w:val="SingleTxtG"/>
              <w:ind w:firstLine="567"/>
              <w:rPr>
                <w:lang w:val="fr-CA"/>
              </w:rPr>
            </w:pPr>
            <w:r w:rsidRPr="00B7560E">
              <w:rPr>
                <w:lang w:val="fr-CA"/>
              </w:rPr>
              <w:t>Il</w:t>
            </w:r>
            <w:r w:rsidR="0062519F" w:rsidRPr="00B7560E">
              <w:rPr>
                <w:lang w:val="fr-CA"/>
              </w:rPr>
              <w:t xml:space="preserve"> </w:t>
            </w:r>
            <w:r w:rsidRPr="00B7560E">
              <w:rPr>
                <w:lang w:val="fr-CA"/>
              </w:rPr>
              <w:t xml:space="preserve">rassemble des </w:t>
            </w:r>
            <w:r w:rsidR="0062519F" w:rsidRPr="00B7560E">
              <w:rPr>
                <w:lang w:val="fr-CA"/>
              </w:rPr>
              <w:t xml:space="preserve">informations </w:t>
            </w:r>
            <w:r w:rsidRPr="00B7560E">
              <w:rPr>
                <w:lang w:val="fr-CA"/>
              </w:rPr>
              <w:t>obtenues auprès d’</w:t>
            </w:r>
            <w:r w:rsidR="0062519F" w:rsidRPr="00B7560E">
              <w:rPr>
                <w:lang w:val="fr-CA"/>
              </w:rPr>
              <w:t xml:space="preserve">États Membres, </w:t>
            </w:r>
            <w:r w:rsidRPr="00B7560E">
              <w:rPr>
                <w:lang w:val="fr-CA"/>
              </w:rPr>
              <w:t>d’</w:t>
            </w:r>
            <w:r w:rsidR="0062519F" w:rsidRPr="00B7560E">
              <w:rPr>
                <w:lang w:val="fr-CA"/>
              </w:rPr>
              <w:t xml:space="preserve">organisations régionales, </w:t>
            </w:r>
            <w:r w:rsidRPr="00B7560E">
              <w:rPr>
                <w:lang w:val="fr-CA"/>
              </w:rPr>
              <w:t>d’</w:t>
            </w:r>
            <w:r w:rsidR="0062519F" w:rsidRPr="00B7560E">
              <w:rPr>
                <w:lang w:val="fr-CA"/>
              </w:rPr>
              <w:t xml:space="preserve">institutions nationales de défense des droits de l’homme et </w:t>
            </w:r>
            <w:r w:rsidRPr="00B7560E">
              <w:rPr>
                <w:lang w:val="fr-CA"/>
              </w:rPr>
              <w:t>d’</w:t>
            </w:r>
            <w:r w:rsidR="0062519F" w:rsidRPr="00B7560E">
              <w:rPr>
                <w:lang w:val="fr-CA"/>
              </w:rPr>
              <w:t xml:space="preserve">organisations de la société civile. Conformément à la résolution 19/35, il comprend également des </w:t>
            </w:r>
            <w:r w:rsidR="009F43AB" w:rsidRPr="00B7560E">
              <w:rPr>
                <w:lang w:val="fr-CA"/>
              </w:rPr>
              <w:t>contributions des organes conventionnels et des</w:t>
            </w:r>
            <w:r w:rsidR="0062519F" w:rsidRPr="00B7560E">
              <w:rPr>
                <w:lang w:val="fr-CA"/>
              </w:rPr>
              <w:t xml:space="preserve"> </w:t>
            </w:r>
            <w:r w:rsidR="009F43AB" w:rsidRPr="00B7560E">
              <w:rPr>
                <w:lang w:val="fr-CA"/>
              </w:rPr>
              <w:t>titulaires de mandat au titre des procédures spéciales thématiques pertinentes.</w:t>
            </w:r>
          </w:p>
          <w:p w:rsidR="009F43AB" w:rsidRPr="00B7560E" w:rsidRDefault="00060CA7" w:rsidP="007E0F2B">
            <w:pPr>
              <w:pStyle w:val="SingleTxtG"/>
              <w:ind w:firstLine="567"/>
              <w:rPr>
                <w:lang w:val="fr-CA"/>
              </w:rPr>
            </w:pPr>
            <w:r w:rsidRPr="00B7560E">
              <w:rPr>
                <w:lang w:val="fr-CA"/>
              </w:rPr>
              <w:t xml:space="preserve">Sur la base </w:t>
            </w:r>
            <w:r w:rsidR="008F0300" w:rsidRPr="00B7560E">
              <w:rPr>
                <w:lang w:val="fr-CA"/>
              </w:rPr>
              <w:t xml:space="preserve">de ces apports, </w:t>
            </w:r>
            <w:r w:rsidR="00C969B5" w:rsidRPr="00B7560E">
              <w:rPr>
                <w:lang w:val="fr-CA"/>
              </w:rPr>
              <w:t xml:space="preserve">il </w:t>
            </w:r>
            <w:r w:rsidRPr="00B7560E">
              <w:rPr>
                <w:lang w:val="fr-CA"/>
              </w:rPr>
              <w:t xml:space="preserve">présente </w:t>
            </w:r>
            <w:r w:rsidR="00C969B5" w:rsidRPr="00B7560E">
              <w:rPr>
                <w:lang w:val="fr-CA"/>
              </w:rPr>
              <w:t xml:space="preserve">des exemples de </w:t>
            </w:r>
            <w:r w:rsidR="009F43AB" w:rsidRPr="00B7560E">
              <w:rPr>
                <w:lang w:val="fr-CA"/>
              </w:rPr>
              <w:t xml:space="preserve">mesures efficaces et </w:t>
            </w:r>
            <w:r w:rsidR="00C969B5" w:rsidRPr="00B7560E">
              <w:rPr>
                <w:lang w:val="fr-CA"/>
              </w:rPr>
              <w:t>de</w:t>
            </w:r>
            <w:r w:rsidR="009F43AB" w:rsidRPr="00B7560E">
              <w:rPr>
                <w:lang w:val="fr-CA"/>
              </w:rPr>
              <w:t xml:space="preserve"> meilleures pratiques </w:t>
            </w:r>
            <w:r w:rsidR="00C969B5" w:rsidRPr="00B7560E">
              <w:rPr>
                <w:lang w:val="fr-CA"/>
              </w:rPr>
              <w:t>pour faire avancer et appuyer</w:t>
            </w:r>
            <w:r w:rsidR="009F43AB" w:rsidRPr="00B7560E">
              <w:rPr>
                <w:lang w:val="fr-CA"/>
              </w:rPr>
              <w:t xml:space="preserve"> la promotion et la protection des droits de l’homme dans le contexte des manifestations pacifiques.</w:t>
            </w:r>
            <w:r w:rsidR="008F0300" w:rsidRPr="00B7560E">
              <w:rPr>
                <w:lang w:val="fr-CA"/>
              </w:rPr>
              <w:t xml:space="preserve"> Il </w:t>
            </w:r>
            <w:r w:rsidRPr="00B7560E">
              <w:rPr>
                <w:lang w:val="fr-CA"/>
              </w:rPr>
              <w:t xml:space="preserve">arrive à la </w:t>
            </w:r>
            <w:r w:rsidR="008F0300" w:rsidRPr="00B7560E">
              <w:rPr>
                <w:lang w:val="fr-CA"/>
              </w:rPr>
              <w:t xml:space="preserve">conclusion que les manifestations pacifiques </w:t>
            </w:r>
            <w:r w:rsidR="00BB4EA1">
              <w:rPr>
                <w:lang w:val="fr-CA"/>
              </w:rPr>
              <w:t>so</w:t>
            </w:r>
            <w:r w:rsidR="00BB4EA1" w:rsidRPr="00B7560E">
              <w:rPr>
                <w:lang w:val="fr-CA"/>
              </w:rPr>
              <w:t>nt un aspect fondamental d</w:t>
            </w:r>
            <w:r w:rsidR="00BB4EA1">
              <w:rPr>
                <w:lang w:val="fr-CA"/>
              </w:rPr>
              <w:t>’une</w:t>
            </w:r>
            <w:r w:rsidR="00BB4EA1" w:rsidRPr="00B7560E">
              <w:rPr>
                <w:lang w:val="fr-CA"/>
              </w:rPr>
              <w:t xml:space="preserve"> démocratie vi</w:t>
            </w:r>
            <w:r w:rsidR="00BB4EA1">
              <w:rPr>
                <w:lang w:val="fr-CA"/>
              </w:rPr>
              <w:t>goureus</w:t>
            </w:r>
            <w:r w:rsidR="00BB4EA1" w:rsidRPr="00B7560E">
              <w:rPr>
                <w:lang w:val="fr-CA"/>
              </w:rPr>
              <w:t>e</w:t>
            </w:r>
            <w:r w:rsidR="008F0300" w:rsidRPr="00B7560E">
              <w:rPr>
                <w:lang w:val="fr-CA"/>
              </w:rPr>
              <w:t>.</w:t>
            </w:r>
            <w:r w:rsidRPr="00B7560E">
              <w:rPr>
                <w:lang w:val="fr-CA"/>
              </w:rPr>
              <w:t xml:space="preserve"> </w:t>
            </w:r>
            <w:r w:rsidR="00861EC4" w:rsidRPr="00B7560E">
              <w:rPr>
                <w:lang w:val="fr-CA"/>
              </w:rPr>
              <w:t>L</w:t>
            </w:r>
            <w:r w:rsidRPr="00B7560E">
              <w:rPr>
                <w:lang w:val="fr-CA"/>
              </w:rPr>
              <w:t>a promotion et la protection des manifestations pacifiques exigent non seulement un cadre juridique adéquat mais aussi des efforts continus</w:t>
            </w:r>
            <w:r w:rsidR="00861EC4" w:rsidRPr="00B7560E">
              <w:rPr>
                <w:lang w:val="fr-CA"/>
              </w:rPr>
              <w:t xml:space="preserve"> de mise en œuvre effective</w:t>
            </w:r>
            <w:r w:rsidR="00B429C4" w:rsidRPr="00B7560E">
              <w:rPr>
                <w:lang w:val="fr-CA"/>
              </w:rPr>
              <w:t xml:space="preserve">. </w:t>
            </w:r>
            <w:r w:rsidR="00950D51" w:rsidRPr="00B7560E">
              <w:rPr>
                <w:lang w:val="fr-CA"/>
              </w:rPr>
              <w:lastRenderedPageBreak/>
              <w:t>L’établissement d’u</w:t>
            </w:r>
            <w:r w:rsidR="00DD55E8" w:rsidRPr="00B7560E">
              <w:rPr>
                <w:lang w:val="fr-CA"/>
              </w:rPr>
              <w:t>n dialogue entre, d’une part, les organisateurs de</w:t>
            </w:r>
            <w:r w:rsidR="00C637B2">
              <w:rPr>
                <w:lang w:val="fr-CA"/>
              </w:rPr>
              <w:t>s</w:t>
            </w:r>
            <w:r w:rsidR="00DD55E8" w:rsidRPr="00B7560E">
              <w:rPr>
                <w:lang w:val="fr-CA"/>
              </w:rPr>
              <w:t xml:space="preserve"> manifestations et, d’autre part, les autorités administratives </w:t>
            </w:r>
            <w:r w:rsidR="00216E77" w:rsidRPr="00B7560E">
              <w:rPr>
                <w:lang w:val="fr-CA"/>
              </w:rPr>
              <w:t>et</w:t>
            </w:r>
            <w:r w:rsidR="00DD55E8" w:rsidRPr="00B7560E">
              <w:rPr>
                <w:lang w:val="fr-CA"/>
              </w:rPr>
              <w:t xml:space="preserve"> la police</w:t>
            </w:r>
            <w:r w:rsidR="00A644E6" w:rsidRPr="00B7560E">
              <w:rPr>
                <w:lang w:val="fr-CA"/>
              </w:rPr>
              <w:t>,</w:t>
            </w:r>
            <w:r w:rsidR="00DD55E8" w:rsidRPr="00B7560E">
              <w:rPr>
                <w:lang w:val="fr-CA"/>
              </w:rPr>
              <w:t xml:space="preserve"> </w:t>
            </w:r>
            <w:r w:rsidR="00216E77" w:rsidRPr="00B7560E">
              <w:rPr>
                <w:lang w:val="fr-CA"/>
              </w:rPr>
              <w:t xml:space="preserve">ainsi que </w:t>
            </w:r>
            <w:r w:rsidR="00A644E6" w:rsidRPr="00B7560E">
              <w:rPr>
                <w:lang w:val="fr-CA"/>
              </w:rPr>
              <w:t xml:space="preserve">la mise en place de </w:t>
            </w:r>
            <w:r w:rsidR="00DD55E8" w:rsidRPr="00B7560E">
              <w:rPr>
                <w:lang w:val="fr-CA"/>
              </w:rPr>
              <w:t xml:space="preserve">programmes de formation </w:t>
            </w:r>
            <w:r w:rsidR="00A644E6" w:rsidRPr="00B7560E">
              <w:rPr>
                <w:lang w:val="fr-CA"/>
              </w:rPr>
              <w:t>des services de police</w:t>
            </w:r>
            <w:r w:rsidR="00C76B88" w:rsidRPr="00B7560E">
              <w:rPr>
                <w:lang w:val="fr-CA"/>
              </w:rPr>
              <w:t xml:space="preserve"> </w:t>
            </w:r>
            <w:r w:rsidR="00F3444B" w:rsidRPr="00B7560E">
              <w:rPr>
                <w:lang w:val="fr-CA"/>
              </w:rPr>
              <w:t>port</w:t>
            </w:r>
            <w:r w:rsidR="00216E77" w:rsidRPr="00B7560E">
              <w:rPr>
                <w:lang w:val="fr-CA"/>
              </w:rPr>
              <w:t xml:space="preserve">ant </w:t>
            </w:r>
            <w:r w:rsidR="00F3444B" w:rsidRPr="00B7560E">
              <w:rPr>
                <w:lang w:val="fr-CA"/>
              </w:rPr>
              <w:t xml:space="preserve">sur </w:t>
            </w:r>
            <w:r w:rsidR="00216E77" w:rsidRPr="00B7560E">
              <w:rPr>
                <w:lang w:val="fr-CA"/>
              </w:rPr>
              <w:t xml:space="preserve">les </w:t>
            </w:r>
            <w:r w:rsidR="00A644E6" w:rsidRPr="00B7560E">
              <w:rPr>
                <w:lang w:val="fr-CA"/>
              </w:rPr>
              <w:t>droits de l’homme</w:t>
            </w:r>
            <w:r w:rsidR="00DD55E8" w:rsidRPr="00B7560E">
              <w:rPr>
                <w:lang w:val="fr-CA"/>
              </w:rPr>
              <w:t xml:space="preserve">, </w:t>
            </w:r>
            <w:r w:rsidR="00216E77" w:rsidRPr="00B7560E">
              <w:rPr>
                <w:lang w:val="fr-CA"/>
              </w:rPr>
              <w:t xml:space="preserve">en particulier </w:t>
            </w:r>
            <w:r w:rsidR="00DD55E8" w:rsidRPr="00B7560E">
              <w:rPr>
                <w:lang w:val="fr-CA"/>
              </w:rPr>
              <w:t xml:space="preserve">l’emploi de la force </w:t>
            </w:r>
            <w:r w:rsidR="00950D51" w:rsidRPr="00B7560E">
              <w:rPr>
                <w:lang w:val="fr-CA"/>
              </w:rPr>
              <w:t>lors d</w:t>
            </w:r>
            <w:r w:rsidR="00DD55E8" w:rsidRPr="00B7560E">
              <w:rPr>
                <w:lang w:val="fr-CA"/>
              </w:rPr>
              <w:t xml:space="preserve">es manifestations, </w:t>
            </w:r>
            <w:r w:rsidR="00216E77" w:rsidRPr="00B7560E">
              <w:rPr>
                <w:lang w:val="fr-CA"/>
              </w:rPr>
              <w:t xml:space="preserve">peuvent </w:t>
            </w:r>
            <w:r w:rsidR="00DD55E8" w:rsidRPr="00B7560E">
              <w:rPr>
                <w:lang w:val="fr-CA"/>
              </w:rPr>
              <w:t>contribuer à la promotion et à la protection des droits humains en matière de manifestations pacifiques.</w:t>
            </w:r>
          </w:p>
        </w:tc>
      </w:tr>
      <w:tr w:rsidR="00896FBA" w:rsidRPr="00B7560E" w:rsidTr="003760D1">
        <w:trPr>
          <w:jc w:val="center"/>
        </w:trPr>
        <w:tc>
          <w:tcPr>
            <w:tcW w:w="9637" w:type="dxa"/>
            <w:shd w:val="clear" w:color="auto" w:fill="auto"/>
          </w:tcPr>
          <w:p w:rsidR="00896FBA" w:rsidRPr="00B7560E" w:rsidRDefault="00896FBA" w:rsidP="00896FBA">
            <w:pPr>
              <w:rPr>
                <w:lang w:val="fr-CA"/>
              </w:rPr>
            </w:pPr>
          </w:p>
        </w:tc>
      </w:tr>
    </w:tbl>
    <w:p w:rsidR="00896FBA" w:rsidRPr="00B7560E" w:rsidRDefault="00896FBA" w:rsidP="00896FBA">
      <w:pPr>
        <w:pStyle w:val="SingleTxtG"/>
        <w:rPr>
          <w:lang w:val="fr-CA"/>
        </w:rPr>
      </w:pPr>
    </w:p>
    <w:p w:rsidR="007520AE" w:rsidRDefault="00896FBA" w:rsidP="00896FBA">
      <w:pPr>
        <w:spacing w:after="120"/>
        <w:rPr>
          <w:lang w:val="fr-CA"/>
        </w:rPr>
      </w:pPr>
      <w:r w:rsidRPr="00B7560E">
        <w:rPr>
          <w:lang w:val="fr-CA"/>
        </w:rPr>
        <w:br w:type="page"/>
      </w:r>
    </w:p>
    <w:p w:rsidR="00CB7A66" w:rsidRDefault="00CB7A66" w:rsidP="00896FBA">
      <w:pPr>
        <w:spacing w:after="120"/>
        <w:rPr>
          <w:lang w:val="fr-CA"/>
        </w:rPr>
        <w:sectPr w:rsidR="00CB7A66" w:rsidSect="00345B91">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decimal"/>
          </w:endnotePr>
          <w:pgSz w:w="11907" w:h="16840" w:code="9"/>
          <w:pgMar w:top="993" w:right="1134" w:bottom="2268" w:left="1134" w:header="1134" w:footer="1747" w:gutter="0"/>
          <w:cols w:space="720"/>
          <w:titlePg/>
          <w:docGrid w:linePitch="272"/>
        </w:sectPr>
      </w:pPr>
    </w:p>
    <w:p w:rsidR="00896FBA" w:rsidRPr="00B7560E" w:rsidRDefault="00896FBA" w:rsidP="00896FBA">
      <w:pPr>
        <w:spacing w:after="120"/>
        <w:rPr>
          <w:sz w:val="28"/>
          <w:lang w:val="fr-CA"/>
        </w:rPr>
      </w:pPr>
      <w:r w:rsidRPr="00B7560E">
        <w:rPr>
          <w:sz w:val="28"/>
          <w:lang w:val="fr-CA"/>
        </w:rPr>
        <w:t>Table des matières</w:t>
      </w:r>
    </w:p>
    <w:p w:rsidR="00896FBA" w:rsidRPr="00B7560E" w:rsidRDefault="00896FBA" w:rsidP="00896FBA">
      <w:pPr>
        <w:tabs>
          <w:tab w:val="right" w:pos="8929"/>
          <w:tab w:val="right" w:pos="9638"/>
        </w:tabs>
        <w:spacing w:after="120"/>
        <w:ind w:left="283"/>
        <w:rPr>
          <w:i/>
          <w:sz w:val="18"/>
          <w:lang w:val="fr-CA"/>
        </w:rPr>
      </w:pPr>
      <w:r w:rsidRPr="00B7560E">
        <w:rPr>
          <w:i/>
          <w:sz w:val="18"/>
          <w:lang w:val="fr-CA"/>
        </w:rPr>
        <w:tab/>
        <w:t>Paragraphes</w:t>
      </w:r>
      <w:r w:rsidRPr="00B7560E">
        <w:rPr>
          <w:i/>
          <w:sz w:val="18"/>
          <w:lang w:val="fr-CA"/>
        </w:rPr>
        <w:tab/>
        <w:t>Page</w:t>
      </w:r>
    </w:p>
    <w:p w:rsid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FR"/>
        </w:rPr>
      </w:pPr>
      <w:r w:rsidRPr="009F3086">
        <w:rPr>
          <w:lang w:val="en-US"/>
        </w:rPr>
        <w:tab/>
      </w:r>
      <w:r w:rsidRPr="00732173">
        <w:rPr>
          <w:lang w:val="fr-FR"/>
        </w:rPr>
        <w:t>I.</w:t>
      </w:r>
      <w:r w:rsidRPr="00732173">
        <w:rPr>
          <w:lang w:val="fr-FR"/>
        </w:rPr>
        <w:tab/>
        <w:t>Introduction</w:t>
      </w:r>
      <w:r w:rsidRPr="00732173">
        <w:rPr>
          <w:lang w:val="fr-FR"/>
        </w:rPr>
        <w:tab/>
      </w:r>
      <w:r w:rsidRPr="00732173">
        <w:rPr>
          <w:lang w:val="fr-FR"/>
        </w:rPr>
        <w:tab/>
        <w:t>1–2</w:t>
      </w:r>
      <w:r w:rsidRPr="00732173">
        <w:rPr>
          <w:lang w:val="fr-FR"/>
        </w:rPr>
        <w:tab/>
        <w:t>4</w:t>
      </w:r>
    </w:p>
    <w:p w:rsidR="009F3086" w:rsidRP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CA"/>
        </w:rPr>
      </w:pPr>
      <w:r>
        <w:rPr>
          <w:lang w:val="fr-FR"/>
        </w:rPr>
        <w:tab/>
      </w:r>
      <w:r w:rsidRPr="009F3086">
        <w:rPr>
          <w:lang w:val="fr-CA"/>
        </w:rPr>
        <w:t>II.</w:t>
      </w:r>
      <w:r w:rsidRPr="009F3086">
        <w:rPr>
          <w:lang w:val="fr-CA"/>
        </w:rPr>
        <w:tab/>
      </w:r>
      <w:r w:rsidRPr="0025323A">
        <w:rPr>
          <w:noProof/>
          <w:lang w:val="fr-CA"/>
        </w:rPr>
        <w:t>Organes conventionnels</w:t>
      </w:r>
      <w:r w:rsidRPr="009F3086">
        <w:rPr>
          <w:lang w:val="fr-CA"/>
        </w:rPr>
        <w:tab/>
      </w:r>
      <w:r w:rsidRPr="009F3086">
        <w:rPr>
          <w:lang w:val="fr-CA"/>
        </w:rPr>
        <w:tab/>
        <w:t>3–7</w:t>
      </w:r>
      <w:r w:rsidRPr="009F3086">
        <w:rPr>
          <w:lang w:val="fr-CA"/>
        </w:rPr>
        <w:tab/>
        <w:t>4</w:t>
      </w:r>
    </w:p>
    <w:p w:rsidR="009F3086" w:rsidRP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CA"/>
        </w:rPr>
      </w:pPr>
      <w:r w:rsidRPr="009F3086">
        <w:rPr>
          <w:lang w:val="fr-CA"/>
        </w:rPr>
        <w:tab/>
        <w:t>III.</w:t>
      </w:r>
      <w:r w:rsidRPr="009F3086">
        <w:rPr>
          <w:lang w:val="fr-CA"/>
        </w:rPr>
        <w:tab/>
      </w:r>
      <w:r w:rsidRPr="0025323A">
        <w:rPr>
          <w:noProof/>
          <w:lang w:val="fr-CA"/>
        </w:rPr>
        <w:t>Procédures spéciales</w:t>
      </w:r>
      <w:r w:rsidRPr="009F3086">
        <w:rPr>
          <w:lang w:val="fr-CA"/>
        </w:rPr>
        <w:tab/>
      </w:r>
      <w:r w:rsidRPr="009F3086">
        <w:rPr>
          <w:lang w:val="fr-CA"/>
        </w:rPr>
        <w:tab/>
        <w:t>8–24</w:t>
      </w:r>
      <w:r w:rsidRPr="009F3086">
        <w:rPr>
          <w:lang w:val="fr-CA"/>
        </w:rPr>
        <w:tab/>
        <w:t>5</w:t>
      </w:r>
    </w:p>
    <w:p w:rsidR="009F3086" w:rsidRP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CA"/>
        </w:rPr>
      </w:pPr>
      <w:r w:rsidRPr="009F3086">
        <w:rPr>
          <w:lang w:val="fr-CA"/>
        </w:rPr>
        <w:tab/>
        <w:t>IV.</w:t>
      </w:r>
      <w:r w:rsidRPr="009F3086">
        <w:rPr>
          <w:lang w:val="fr-CA"/>
        </w:rPr>
        <w:tab/>
      </w:r>
      <w:r w:rsidRPr="0025323A">
        <w:rPr>
          <w:noProof/>
          <w:lang w:val="fr-CA"/>
        </w:rPr>
        <w:t>Législations nationales, mesures efficaces et meilleures pratiques</w:t>
      </w:r>
      <w:r w:rsidRPr="009F3086">
        <w:rPr>
          <w:lang w:val="fr-CA"/>
        </w:rPr>
        <w:tab/>
      </w:r>
      <w:r w:rsidRPr="009F3086">
        <w:rPr>
          <w:lang w:val="fr-CA"/>
        </w:rPr>
        <w:tab/>
        <w:t>25–76</w:t>
      </w:r>
      <w:r w:rsidRPr="009F3086">
        <w:rPr>
          <w:lang w:val="fr-CA"/>
        </w:rPr>
        <w:tab/>
        <w:t>8</w:t>
      </w:r>
    </w:p>
    <w:p w:rsidR="009F3086" w:rsidRP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CA"/>
        </w:rPr>
      </w:pPr>
      <w:r w:rsidRPr="009F3086">
        <w:rPr>
          <w:lang w:val="fr-CA"/>
        </w:rPr>
        <w:tab/>
      </w:r>
      <w:r w:rsidRPr="009F3086">
        <w:rPr>
          <w:lang w:val="fr-CA"/>
        </w:rPr>
        <w:tab/>
        <w:t>A.</w:t>
      </w:r>
      <w:r w:rsidRPr="009F3086">
        <w:rPr>
          <w:lang w:val="fr-CA"/>
        </w:rPr>
        <w:tab/>
      </w:r>
      <w:r w:rsidRPr="0025323A">
        <w:rPr>
          <w:noProof/>
          <w:lang w:val="fr-CA"/>
        </w:rPr>
        <w:t>Législations nationales pertinentes</w:t>
      </w:r>
      <w:r w:rsidRPr="009F3086">
        <w:rPr>
          <w:lang w:val="fr-CA"/>
        </w:rPr>
        <w:tab/>
      </w:r>
      <w:r w:rsidRPr="009F3086">
        <w:rPr>
          <w:lang w:val="fr-CA"/>
        </w:rPr>
        <w:tab/>
        <w:t>25–33</w:t>
      </w:r>
      <w:r w:rsidRPr="009F3086">
        <w:rPr>
          <w:lang w:val="fr-CA"/>
        </w:rPr>
        <w:tab/>
        <w:t>8</w:t>
      </w:r>
    </w:p>
    <w:p w:rsidR="009F3086" w:rsidRPr="009F3086" w:rsidRDefault="009F3086" w:rsidP="009F3086">
      <w:pPr>
        <w:tabs>
          <w:tab w:val="right" w:pos="850"/>
          <w:tab w:val="left" w:pos="1134"/>
          <w:tab w:val="left" w:pos="1559"/>
          <w:tab w:val="left" w:pos="1984"/>
          <w:tab w:val="left" w:leader="dot" w:pos="7654"/>
          <w:tab w:val="right" w:pos="8929"/>
          <w:tab w:val="right" w:pos="9638"/>
        </w:tabs>
        <w:spacing w:after="120"/>
        <w:ind w:right="1134"/>
        <w:rPr>
          <w:lang w:val="fr-CA"/>
        </w:rPr>
      </w:pPr>
      <w:r w:rsidRPr="009F3086">
        <w:rPr>
          <w:lang w:val="fr-CA"/>
        </w:rPr>
        <w:tab/>
      </w:r>
      <w:r w:rsidRPr="009F3086">
        <w:rPr>
          <w:lang w:val="fr-CA"/>
        </w:rPr>
        <w:tab/>
        <w:t>B.</w:t>
      </w:r>
      <w:r w:rsidRPr="009F3086">
        <w:rPr>
          <w:lang w:val="fr-CA"/>
        </w:rPr>
        <w:tab/>
      </w:r>
      <w:r w:rsidRPr="0025323A">
        <w:rPr>
          <w:noProof/>
          <w:lang w:val="fr-CA"/>
        </w:rPr>
        <w:t>Mesures efficaces et meilleures pratiques</w:t>
      </w:r>
      <w:r w:rsidRPr="009F3086">
        <w:rPr>
          <w:lang w:val="fr-CA"/>
        </w:rPr>
        <w:tab/>
      </w:r>
      <w:r w:rsidRPr="009F3086">
        <w:rPr>
          <w:lang w:val="fr-CA"/>
        </w:rPr>
        <w:tab/>
        <w:t>34–76</w:t>
      </w:r>
      <w:r w:rsidRPr="009F3086">
        <w:rPr>
          <w:lang w:val="fr-CA"/>
        </w:rPr>
        <w:tab/>
        <w:t>9</w:t>
      </w:r>
    </w:p>
    <w:p w:rsidR="009F3086" w:rsidRPr="00F60007" w:rsidRDefault="009F3086" w:rsidP="009F3086">
      <w:pPr>
        <w:tabs>
          <w:tab w:val="right" w:pos="850"/>
          <w:tab w:val="left" w:pos="1134"/>
          <w:tab w:val="left" w:pos="1559"/>
          <w:tab w:val="left" w:pos="1984"/>
          <w:tab w:val="left" w:leader="dot" w:pos="7654"/>
          <w:tab w:val="right" w:pos="8929"/>
          <w:tab w:val="right" w:pos="9638"/>
        </w:tabs>
        <w:spacing w:after="120"/>
        <w:ind w:right="1134"/>
        <w:rPr>
          <w:lang w:val="en-US"/>
        </w:rPr>
      </w:pPr>
      <w:r w:rsidRPr="009F3086">
        <w:rPr>
          <w:lang w:val="fr-CA"/>
        </w:rPr>
        <w:tab/>
      </w:r>
      <w:r w:rsidRPr="00F60007">
        <w:rPr>
          <w:lang w:val="en-US"/>
        </w:rPr>
        <w:t>V.</w:t>
      </w:r>
      <w:r w:rsidRPr="00F60007">
        <w:rPr>
          <w:lang w:val="en-US"/>
        </w:rPr>
        <w:tab/>
        <w:t xml:space="preserve">Conclusions </w:t>
      </w:r>
      <w:r w:rsidRPr="00F60007">
        <w:rPr>
          <w:lang w:val="en-US"/>
        </w:rPr>
        <w:tab/>
      </w:r>
      <w:r w:rsidRPr="00F60007">
        <w:rPr>
          <w:lang w:val="en-US"/>
        </w:rPr>
        <w:tab/>
        <w:t>77–78</w:t>
      </w:r>
      <w:r w:rsidRPr="00F60007">
        <w:rPr>
          <w:lang w:val="en-US"/>
        </w:rPr>
        <w:tab/>
        <w:t>1</w:t>
      </w:r>
      <w:r w:rsidR="00FF7CE0">
        <w:rPr>
          <w:lang w:val="en-US"/>
        </w:rPr>
        <w:t>7</w:t>
      </w:r>
    </w:p>
    <w:p w:rsidR="00896FBA" w:rsidRPr="00B7560E" w:rsidRDefault="007520AE" w:rsidP="009F3086">
      <w:pPr>
        <w:pStyle w:val="Style1"/>
        <w:keepLines w:val="0"/>
        <w:numPr>
          <w:ilvl w:val="0"/>
          <w:numId w:val="36"/>
        </w:numPr>
        <w:ind w:left="720"/>
      </w:pPr>
      <w:bookmarkStart w:id="0" w:name="_Toc383772274"/>
      <w:bookmarkStart w:id="1" w:name="_Toc383772366"/>
      <w:bookmarkStart w:id="2" w:name="_Toc383772721"/>
      <w:r>
        <w:br w:type="page"/>
      </w:r>
      <w:r w:rsidR="00896FBA" w:rsidRPr="00B7560E">
        <w:t>Introduction</w:t>
      </w:r>
      <w:bookmarkEnd w:id="0"/>
      <w:bookmarkEnd w:id="1"/>
      <w:bookmarkEnd w:id="2"/>
    </w:p>
    <w:p w:rsidR="007520AE" w:rsidRDefault="007520AE" w:rsidP="00ED2A7C">
      <w:pPr>
        <w:pStyle w:val="ParNoG"/>
        <w:tabs>
          <w:tab w:val="clear" w:pos="1701"/>
        </w:tabs>
        <w:ind w:left="624"/>
        <w:rPr>
          <w:lang w:val="fr-CA"/>
        </w:rPr>
        <w:sectPr w:rsidR="007520AE" w:rsidSect="001B4C0D">
          <w:footerReference w:type="even" r:id="rId16"/>
          <w:headerReference w:type="first" r:id="rId17"/>
          <w:footerReference w:type="first" r:id="rId18"/>
          <w:footnotePr>
            <w:numFmt w:val="chicago"/>
          </w:footnotePr>
          <w:endnotePr>
            <w:numFmt w:val="decimal"/>
          </w:endnotePr>
          <w:type w:val="continuous"/>
          <w:pgSz w:w="11907" w:h="16840" w:code="9"/>
          <w:pgMar w:top="993" w:right="1134" w:bottom="1985" w:left="1134" w:header="1134" w:footer="1753" w:gutter="0"/>
          <w:cols w:space="720"/>
          <w:titlePg/>
          <w:docGrid w:linePitch="272"/>
        </w:sectPr>
      </w:pPr>
    </w:p>
    <w:p w:rsidR="00A644E6" w:rsidRPr="00B7560E" w:rsidRDefault="00A644E6" w:rsidP="00ED2A7C">
      <w:pPr>
        <w:pStyle w:val="ParNoG"/>
        <w:tabs>
          <w:tab w:val="clear" w:pos="1701"/>
        </w:tabs>
        <w:ind w:left="624"/>
        <w:rPr>
          <w:b/>
          <w:lang w:val="fr-CA"/>
        </w:rPr>
      </w:pPr>
      <w:r w:rsidRPr="00B7560E">
        <w:rPr>
          <w:lang w:val="fr-CA"/>
        </w:rPr>
        <w:t xml:space="preserve">Dans sa résolution 19/35, le Conseil des droits de l’homme a prié </w:t>
      </w:r>
      <w:r w:rsidR="00950D51" w:rsidRPr="00B7560E">
        <w:rPr>
          <w:lang w:val="fr-CA"/>
        </w:rPr>
        <w:t>la Haut-Commissaire</w:t>
      </w:r>
      <w:r w:rsidRPr="00B7560E">
        <w:rPr>
          <w:lang w:val="fr-CA"/>
        </w:rPr>
        <w:t xml:space="preserve"> aux droits de l’homme d’établir et de lui présenter avant sa vingt-deuxième session un rapport thématique sur les mesures efficaces et les meilleures pratiques permettant d’assurer la promotion et la protection des droits de l’homme dans le contexte des manifestations pacifiques.</w:t>
      </w:r>
    </w:p>
    <w:p w:rsidR="00C76B88" w:rsidRPr="00B7560E" w:rsidRDefault="00C76B88" w:rsidP="00ED2A7C">
      <w:pPr>
        <w:pStyle w:val="ParNoG"/>
        <w:tabs>
          <w:tab w:val="clear" w:pos="1701"/>
        </w:tabs>
        <w:ind w:left="624"/>
        <w:rPr>
          <w:b/>
          <w:lang w:val="fr-CA"/>
        </w:rPr>
      </w:pPr>
      <w:r w:rsidRPr="00B7560E">
        <w:rPr>
          <w:lang w:val="fr-CA"/>
        </w:rPr>
        <w:t xml:space="preserve">Le Conseil a encouragé les titulaires de mandat au titre des procédures spéciales thématiques pertinentes, notamment les </w:t>
      </w:r>
      <w:r w:rsidR="003A6CC4" w:rsidRPr="00B7560E">
        <w:rPr>
          <w:lang w:val="fr-CA"/>
        </w:rPr>
        <w:t xml:space="preserve">Rapporteurs </w:t>
      </w:r>
      <w:r w:rsidRPr="00B7560E">
        <w:rPr>
          <w:lang w:val="fr-CA"/>
        </w:rPr>
        <w:t xml:space="preserve">spéciaux sur la liberté </w:t>
      </w:r>
      <w:r w:rsidR="003A6CC4" w:rsidRPr="00B7560E">
        <w:rPr>
          <w:lang w:val="fr-CA"/>
        </w:rPr>
        <w:t xml:space="preserve">d’opinion et </w:t>
      </w:r>
      <w:r w:rsidRPr="00B7560E">
        <w:rPr>
          <w:lang w:val="fr-CA"/>
        </w:rPr>
        <w:t>d’expression, sur le droit de réunion pacifique et la liberté d’association, sur les exécutions extrajudiciaires, sommaire</w:t>
      </w:r>
      <w:bookmarkStart w:id="3" w:name="_GoBack"/>
      <w:bookmarkEnd w:id="3"/>
      <w:r w:rsidRPr="00B7560E">
        <w:rPr>
          <w:lang w:val="fr-CA"/>
        </w:rPr>
        <w:t>s ou arbitraires</w:t>
      </w:r>
      <w:r w:rsidR="00F552B5">
        <w:rPr>
          <w:lang w:val="fr-CA"/>
        </w:rPr>
        <w:t>,</w:t>
      </w:r>
      <w:r w:rsidRPr="00B7560E">
        <w:rPr>
          <w:lang w:val="fr-CA"/>
        </w:rPr>
        <w:t xml:space="preserve"> et </w:t>
      </w:r>
      <w:r w:rsidRPr="00B7560E">
        <w:rPr>
          <w:szCs w:val="22"/>
          <w:lang w:val="fr-CA"/>
        </w:rPr>
        <w:t xml:space="preserve">sur la situation des défenseurs des droits de l’homme, à contribuer à ce rapport thématique. Il a en outre prié </w:t>
      </w:r>
      <w:r w:rsidR="00950D51" w:rsidRPr="00B7560E">
        <w:rPr>
          <w:szCs w:val="22"/>
          <w:lang w:val="fr-CA"/>
        </w:rPr>
        <w:t>la Haut-Commissaire</w:t>
      </w:r>
      <w:r w:rsidRPr="00B7560E">
        <w:rPr>
          <w:szCs w:val="22"/>
          <w:lang w:val="fr-CA"/>
        </w:rPr>
        <w:t>, lors de l’établissement du rapport thématique,</w:t>
      </w:r>
      <w:r w:rsidRPr="00B7560E">
        <w:rPr>
          <w:lang w:val="fr-CA"/>
        </w:rPr>
        <w:t xml:space="preserve"> de s’inspirer de l’expérience des organes conventionnels et de solliciter les avis des États et des partenaires concernés, tels que les organismes des Nations Unies, les organisations régionales, les institutions nationales de défense des droits de l’homme et les organisations de la société civile</w:t>
      </w:r>
      <w:r w:rsidR="007520AE">
        <w:rPr>
          <w:rStyle w:val="Appelnotedebasdep"/>
        </w:rPr>
        <w:footnoteReference w:id="3"/>
      </w:r>
      <w:r w:rsidRPr="00B7560E">
        <w:rPr>
          <w:lang w:val="fr-CA"/>
        </w:rPr>
        <w:t>.</w:t>
      </w:r>
    </w:p>
    <w:p w:rsidR="00896FBA" w:rsidRPr="00B7560E" w:rsidRDefault="00AF4E47" w:rsidP="009F3086">
      <w:pPr>
        <w:pStyle w:val="Style1"/>
        <w:keepLines w:val="0"/>
        <w:numPr>
          <w:ilvl w:val="0"/>
          <w:numId w:val="36"/>
        </w:numPr>
        <w:ind w:left="720"/>
      </w:pPr>
      <w:bookmarkStart w:id="4" w:name="_Toc383772275"/>
      <w:bookmarkStart w:id="5" w:name="_Toc383772367"/>
      <w:bookmarkStart w:id="6" w:name="_Toc383772722"/>
      <w:r w:rsidRPr="00B7560E">
        <w:t>Organes conventionnels</w:t>
      </w:r>
      <w:bookmarkEnd w:id="4"/>
      <w:bookmarkEnd w:id="5"/>
      <w:bookmarkEnd w:id="6"/>
    </w:p>
    <w:p w:rsidR="00896FBA" w:rsidRPr="00B7560E" w:rsidRDefault="00B133D8" w:rsidP="00ED2A7C">
      <w:pPr>
        <w:pStyle w:val="ParNoG"/>
        <w:tabs>
          <w:tab w:val="clear" w:pos="1701"/>
        </w:tabs>
        <w:ind w:left="624"/>
        <w:rPr>
          <w:b/>
          <w:lang w:val="fr-CA"/>
        </w:rPr>
      </w:pPr>
      <w:r w:rsidRPr="00B7560E">
        <w:rPr>
          <w:lang w:val="fr-CA"/>
        </w:rPr>
        <w:t xml:space="preserve">La participation aux manifestations pacifiques peut être une forme importante de l’exercice du droit à la liberté de réunion pacifique </w:t>
      </w:r>
      <w:r w:rsidR="004973B7" w:rsidRPr="00B7560E">
        <w:rPr>
          <w:lang w:val="fr-CA"/>
        </w:rPr>
        <w:t xml:space="preserve">et du droit </w:t>
      </w:r>
      <w:r w:rsidRPr="00B7560E">
        <w:rPr>
          <w:lang w:val="fr-CA"/>
        </w:rPr>
        <w:t xml:space="preserve">à la liberté d’expression </w:t>
      </w:r>
      <w:r w:rsidR="004973B7" w:rsidRPr="00B7560E">
        <w:rPr>
          <w:lang w:val="fr-CA"/>
        </w:rPr>
        <w:t>établis dans les articles 21 et 19</w:t>
      </w:r>
      <w:r w:rsidR="005B72AB" w:rsidRPr="00B7560E">
        <w:rPr>
          <w:lang w:val="fr-CA"/>
        </w:rPr>
        <w:t>, respectivement,</w:t>
      </w:r>
      <w:r w:rsidR="004973B7" w:rsidRPr="00B7560E">
        <w:rPr>
          <w:lang w:val="fr-CA"/>
        </w:rPr>
        <w:t xml:space="preserve"> du Pacte international relatif aux droits civils et politiques</w:t>
      </w:r>
      <w:r w:rsidR="004973B7" w:rsidRPr="00B7560E">
        <w:rPr>
          <w:rStyle w:val="Appelnotedebasdep"/>
          <w:lang w:val="fr-CA"/>
        </w:rPr>
        <w:footnoteReference w:id="4"/>
      </w:r>
      <w:r w:rsidR="004973B7" w:rsidRPr="00B7560E">
        <w:rPr>
          <w:lang w:val="fr-CA"/>
        </w:rPr>
        <w:t>. Selon l’observation générale n</w:t>
      </w:r>
      <w:r w:rsidR="004973B7" w:rsidRPr="00B7560E">
        <w:rPr>
          <w:vertAlign w:val="superscript"/>
          <w:lang w:val="fr-CA"/>
        </w:rPr>
        <w:t>o</w:t>
      </w:r>
      <w:r w:rsidR="004973B7" w:rsidRPr="00B7560E">
        <w:rPr>
          <w:lang w:val="fr-CA"/>
        </w:rPr>
        <w:t> 34 (2011) du Comité des droits de l’homme, la liberté d'opinion et la liberté d'expression sont des conditions indispensables au développement complet de l'individu, sont essentielles pour toute société et constituent le fondement de toute société libre et démocratique (paragraphe 2).</w:t>
      </w:r>
    </w:p>
    <w:p w:rsidR="00896FBA" w:rsidRPr="00B7560E" w:rsidRDefault="005B72AB" w:rsidP="0090221D">
      <w:pPr>
        <w:pStyle w:val="ParNoG"/>
        <w:keepNext/>
        <w:keepLines/>
        <w:tabs>
          <w:tab w:val="clear" w:pos="1701"/>
        </w:tabs>
        <w:ind w:left="624"/>
        <w:rPr>
          <w:lang w:val="fr-CA"/>
        </w:rPr>
      </w:pPr>
      <w:r w:rsidRPr="00B7560E">
        <w:rPr>
          <w:lang w:val="fr-CA"/>
        </w:rPr>
        <w:t>Dans sa jurisprudence récente, le Conseil des droits de l’homme a attiré l’attention sur le lien étroit entre les droits protégés par les articles 19 et 21 du Pacte</w:t>
      </w:r>
      <w:r w:rsidRPr="00B7560E">
        <w:rPr>
          <w:rStyle w:val="Appelnotedebasdep"/>
          <w:lang w:val="fr-CA"/>
        </w:rPr>
        <w:footnoteReference w:id="5"/>
      </w:r>
      <w:r w:rsidR="001D16C9" w:rsidRPr="00B7560E">
        <w:rPr>
          <w:lang w:val="fr-CA"/>
        </w:rPr>
        <w:t>.</w:t>
      </w:r>
      <w:r w:rsidR="00AF7DAD" w:rsidRPr="00B7560E">
        <w:rPr>
          <w:lang w:val="fr-CA"/>
        </w:rPr>
        <w:t xml:space="preserve"> </w:t>
      </w:r>
      <w:r w:rsidR="006047E1" w:rsidRPr="00B7560E">
        <w:rPr>
          <w:lang w:val="fr-CA"/>
        </w:rPr>
        <w:t xml:space="preserve">Dans le cas </w:t>
      </w:r>
      <w:r w:rsidR="00AF7DAD" w:rsidRPr="00B7560E">
        <w:rPr>
          <w:lang w:val="fr-CA"/>
        </w:rPr>
        <w:t>des manifestations pacifiques, on pourrait également invoquer le droit de s'associer librement (article 22) et celui de prendre part à la direction des affaires publiques (article 25). Dans son observation générale n</w:t>
      </w:r>
      <w:r w:rsidR="00AF7DAD" w:rsidRPr="00B7560E">
        <w:rPr>
          <w:vertAlign w:val="superscript"/>
          <w:lang w:val="fr-CA"/>
        </w:rPr>
        <w:t>o</w:t>
      </w:r>
      <w:r w:rsidR="00AF7DAD" w:rsidRPr="00B7560E">
        <w:rPr>
          <w:lang w:val="fr-CA"/>
        </w:rPr>
        <w:t xml:space="preserve"> 25 (1996), le Conseil des droits de l’homme </w:t>
      </w:r>
      <w:r w:rsidR="00B75EB6" w:rsidRPr="00B7560E">
        <w:rPr>
          <w:lang w:val="fr-CA"/>
        </w:rPr>
        <w:t>a confirmé que la jouissance du droit de participer à la conduite des affaires publiques</w:t>
      </w:r>
      <w:r w:rsidR="006047E1" w:rsidRPr="00B7560E">
        <w:rPr>
          <w:lang w:val="fr-CA"/>
        </w:rPr>
        <w:t xml:space="preserve"> est conditionnée par la pleine jouissance et le respect des</w:t>
      </w:r>
      <w:r w:rsidR="00B75EB6" w:rsidRPr="00B7560E">
        <w:rPr>
          <w:lang w:val="fr-CA"/>
        </w:rPr>
        <w:t xml:space="preserve"> droits garantis aux </w:t>
      </w:r>
      <w:r w:rsidR="006047E1" w:rsidRPr="00B7560E">
        <w:rPr>
          <w:lang w:val="fr-CA"/>
        </w:rPr>
        <w:t>articles 19, 21 et 22 du Pacte</w:t>
      </w:r>
      <w:r w:rsidR="00B75EB6" w:rsidRPr="00B7560E">
        <w:rPr>
          <w:lang w:val="fr-CA"/>
        </w:rPr>
        <w:t xml:space="preserve">, </w:t>
      </w:r>
      <w:r w:rsidR="006047E1" w:rsidRPr="00B7560E">
        <w:rPr>
          <w:lang w:val="fr-CA"/>
        </w:rPr>
        <w:t>en particulier</w:t>
      </w:r>
      <w:r w:rsidR="00B75EB6" w:rsidRPr="00B7560E">
        <w:rPr>
          <w:lang w:val="fr-CA"/>
        </w:rPr>
        <w:t xml:space="preserve"> la liberté de tenir des manifestations et des réunions pacifiques (paragraphe 25).</w:t>
      </w:r>
    </w:p>
    <w:p w:rsidR="00896FBA" w:rsidRPr="00B7560E" w:rsidRDefault="003B6626" w:rsidP="00ED2A7C">
      <w:pPr>
        <w:pStyle w:val="ParNoG"/>
        <w:tabs>
          <w:tab w:val="clear" w:pos="1701"/>
        </w:tabs>
        <w:ind w:left="624"/>
        <w:rPr>
          <w:b/>
          <w:lang w:val="fr-CA"/>
        </w:rPr>
      </w:pPr>
      <w:r w:rsidRPr="00B7560E">
        <w:rPr>
          <w:lang w:val="fr-CA"/>
        </w:rPr>
        <w:t>Toutefois, les droits et libertés prévus aux articles 19 et 21 du Pacte ne sont pas absolus et peuvent faire l’objet de restrictions</w:t>
      </w:r>
      <w:r w:rsidRPr="00B7560E">
        <w:rPr>
          <w:rStyle w:val="Appelnotedebasdep"/>
          <w:lang w:val="fr-CA"/>
        </w:rPr>
        <w:footnoteReference w:id="6"/>
      </w:r>
      <w:r w:rsidRPr="00B7560E">
        <w:rPr>
          <w:lang w:val="fr-CA"/>
        </w:rPr>
        <w:t xml:space="preserve">. L’article 21 stipule que l'exercice du droit de réunion pacifique ne peut faire l'objet que des seules restrictions imposées conformément à la loi et qui sont nécessaires dans une société démocratique, dans l'intérêt de la sécurité nationale, de la sûreté publique, de l'ordre public ou pour protéger la santé ou la moralité publiques, ou les droits et les libertés d'autrui. </w:t>
      </w:r>
      <w:r w:rsidR="00CF1ADD" w:rsidRPr="00B7560E">
        <w:rPr>
          <w:lang w:val="fr-CA"/>
        </w:rPr>
        <w:t>L</w:t>
      </w:r>
      <w:r w:rsidRPr="00B7560E">
        <w:rPr>
          <w:lang w:val="fr-CA"/>
        </w:rPr>
        <w:t xml:space="preserve">e Conseil des droits de l’homme </w:t>
      </w:r>
      <w:r w:rsidR="00CF1ADD" w:rsidRPr="00B7560E">
        <w:rPr>
          <w:lang w:val="fr-CA"/>
        </w:rPr>
        <w:t xml:space="preserve">considère, par exemple, que l'obligation d'avertir la police six heures à l'avance </w:t>
      </w:r>
      <w:r w:rsidR="006213C5">
        <w:rPr>
          <w:lang w:val="fr-CA"/>
        </w:rPr>
        <w:t xml:space="preserve">de l’intention de tenir une </w:t>
      </w:r>
      <w:r w:rsidR="00CF1ADD" w:rsidRPr="00B7560E">
        <w:rPr>
          <w:lang w:val="fr-CA"/>
        </w:rPr>
        <w:t xml:space="preserve">manifestation dans un </w:t>
      </w:r>
      <w:r w:rsidR="006213C5">
        <w:rPr>
          <w:lang w:val="fr-CA"/>
        </w:rPr>
        <w:t>espace</w:t>
      </w:r>
      <w:r w:rsidR="00CF1ADD" w:rsidRPr="00B7560E">
        <w:rPr>
          <w:lang w:val="fr-CA"/>
        </w:rPr>
        <w:t xml:space="preserve"> public peut effectivement faire partie des restrictions tolérées par l'article 21</w:t>
      </w:r>
      <w:r w:rsidR="00CF1ADD" w:rsidRPr="00B7560E">
        <w:rPr>
          <w:rStyle w:val="Appelnotedebasdep"/>
          <w:lang w:val="fr-CA"/>
        </w:rPr>
        <w:footnoteReference w:id="7"/>
      </w:r>
      <w:r w:rsidR="00CF1ADD" w:rsidRPr="00B7560E">
        <w:rPr>
          <w:lang w:val="fr-CA"/>
        </w:rPr>
        <w:t>.</w:t>
      </w:r>
    </w:p>
    <w:p w:rsidR="00CF1ADD" w:rsidRPr="00B7560E" w:rsidRDefault="00CF1ADD" w:rsidP="00ED2A7C">
      <w:pPr>
        <w:pStyle w:val="ParNoG"/>
        <w:tabs>
          <w:tab w:val="clear" w:pos="1701"/>
        </w:tabs>
        <w:ind w:left="624"/>
        <w:rPr>
          <w:b/>
          <w:lang w:val="fr-CA"/>
        </w:rPr>
      </w:pPr>
      <w:r w:rsidRPr="00B7560E">
        <w:rPr>
          <w:lang w:val="fr-CA"/>
        </w:rPr>
        <w:t xml:space="preserve">De même, aux termes du paragraphe 3 de l’article 19, le droit </w:t>
      </w:r>
      <w:r w:rsidR="006C698A" w:rsidRPr="00B7560E">
        <w:rPr>
          <w:lang w:val="fr-CA"/>
        </w:rPr>
        <w:t>à la liberté d'expression peut être soumis à certaines restrictions qui doivent toutefois être expressément fixées par la loi et qui sont nécessaires au respect des droits ou de la réputation d'autrui ou à la sauvegarde de la sécurité nationale, de l'ordre public, de la santé ou de la moralité publiques. Dans son observation générale n</w:t>
      </w:r>
      <w:r w:rsidR="006C698A" w:rsidRPr="00B7560E">
        <w:rPr>
          <w:vertAlign w:val="superscript"/>
          <w:lang w:val="fr-CA"/>
        </w:rPr>
        <w:t>o</w:t>
      </w:r>
      <w:r w:rsidR="006C698A" w:rsidRPr="00B7560E">
        <w:rPr>
          <w:lang w:val="fr-CA"/>
        </w:rPr>
        <w:t xml:space="preserve"> 34 (2011), le Conseil des droits de l’homme explique plus avant que toutes les restrictions à l’exercice de </w:t>
      </w:r>
      <w:r w:rsidR="00CA515D" w:rsidRPr="00B7560E">
        <w:rPr>
          <w:lang w:val="fr-CA"/>
        </w:rPr>
        <w:t>ces</w:t>
      </w:r>
      <w:r w:rsidR="006C698A" w:rsidRPr="00B7560E">
        <w:rPr>
          <w:lang w:val="fr-CA"/>
        </w:rPr>
        <w:t xml:space="preserve"> droits « </w:t>
      </w:r>
      <w:r w:rsidR="00CA515D" w:rsidRPr="00B7560E">
        <w:rPr>
          <w:lang w:val="fr-CA"/>
        </w:rPr>
        <w:t>doivent</w:t>
      </w:r>
      <w:r w:rsidRPr="00B7560E">
        <w:rPr>
          <w:lang w:val="fr-CA"/>
        </w:rPr>
        <w:t xml:space="preserve"> répondre aux critères stricts de nécessité et de proportionnalité</w:t>
      </w:r>
      <w:r w:rsidR="006C698A" w:rsidRPr="00B7560E">
        <w:rPr>
          <w:lang w:val="fr-CA"/>
        </w:rPr>
        <w:t> »</w:t>
      </w:r>
      <w:r w:rsidR="00CA515D" w:rsidRPr="00B7560E">
        <w:rPr>
          <w:lang w:val="fr-CA"/>
        </w:rPr>
        <w:t xml:space="preserve">, </w:t>
      </w:r>
      <w:r w:rsidR="006C698A" w:rsidRPr="00B7560E">
        <w:rPr>
          <w:lang w:val="fr-CA"/>
        </w:rPr>
        <w:t>« </w:t>
      </w:r>
      <w:r w:rsidRPr="00B7560E">
        <w:rPr>
          <w:lang w:val="fr-CA"/>
        </w:rPr>
        <w:t>être appliquée</w:t>
      </w:r>
      <w:r w:rsidR="006C698A" w:rsidRPr="00B7560E">
        <w:rPr>
          <w:lang w:val="fr-CA"/>
        </w:rPr>
        <w:t>s</w:t>
      </w:r>
      <w:r w:rsidRPr="00B7560E">
        <w:rPr>
          <w:lang w:val="fr-CA"/>
        </w:rPr>
        <w:t xml:space="preserve"> exclusivement aux fins pour lesquelles elles ont été prescrites</w:t>
      </w:r>
      <w:r w:rsidR="00CA515D" w:rsidRPr="00B7560E">
        <w:rPr>
          <w:lang w:val="fr-CA"/>
        </w:rPr>
        <w:t> »</w:t>
      </w:r>
      <w:r w:rsidRPr="00B7560E">
        <w:rPr>
          <w:lang w:val="fr-CA"/>
        </w:rPr>
        <w:t xml:space="preserve"> et </w:t>
      </w:r>
      <w:r w:rsidR="00CA515D" w:rsidRPr="00B7560E">
        <w:rPr>
          <w:lang w:val="fr-CA"/>
        </w:rPr>
        <w:t>« </w:t>
      </w:r>
      <w:r w:rsidRPr="00B7560E">
        <w:rPr>
          <w:lang w:val="fr-CA"/>
        </w:rPr>
        <w:t>être en rapport direct avec l'objectif spécifique qui les inspire</w:t>
      </w:r>
      <w:r w:rsidR="006C698A" w:rsidRPr="00B7560E">
        <w:rPr>
          <w:lang w:val="fr-CA"/>
        </w:rPr>
        <w:t> ».</w:t>
      </w:r>
      <w:r w:rsidR="007F024D" w:rsidRPr="00B7560E">
        <w:rPr>
          <w:lang w:val="fr-CA"/>
        </w:rPr>
        <w:t xml:space="preserve"> Dans le contexte d’une requête individuelle, le Comité a fait observer que, bien qu’elle se réfère à l’article 19 du Pacte, l’Observation générale n</w:t>
      </w:r>
      <w:r w:rsidR="007F024D" w:rsidRPr="00B7560E">
        <w:rPr>
          <w:vertAlign w:val="superscript"/>
          <w:lang w:val="fr-CA"/>
        </w:rPr>
        <w:t>o</w:t>
      </w:r>
      <w:r w:rsidR="007F024D" w:rsidRPr="00B7560E">
        <w:rPr>
          <w:lang w:val="fr-CA"/>
        </w:rPr>
        <w:t> 34 contient également des indications relatives à certains éléments de l’article 21</w:t>
      </w:r>
      <w:r w:rsidR="007F024D" w:rsidRPr="00B7560E">
        <w:rPr>
          <w:rStyle w:val="Appelnotedebasdep"/>
          <w:lang w:val="fr-CA"/>
        </w:rPr>
        <w:footnoteReference w:id="8"/>
      </w:r>
      <w:r w:rsidR="007F024D" w:rsidRPr="00B7560E">
        <w:rPr>
          <w:lang w:val="fr-CA"/>
        </w:rPr>
        <w:t>.</w:t>
      </w:r>
    </w:p>
    <w:p w:rsidR="00C62FA7" w:rsidRPr="00B7560E" w:rsidRDefault="00C62FA7" w:rsidP="00ED2A7C">
      <w:pPr>
        <w:pStyle w:val="ParNoG"/>
        <w:tabs>
          <w:tab w:val="clear" w:pos="1701"/>
        </w:tabs>
        <w:ind w:left="624"/>
        <w:rPr>
          <w:lang w:val="fr-CA"/>
        </w:rPr>
      </w:pPr>
      <w:r w:rsidRPr="00B7560E">
        <w:rPr>
          <w:lang w:val="fr-CA"/>
        </w:rPr>
        <w:t>Selon la jurisprudence du Comité, il incombe à l’État partie de montrer que les restrictions imposées aux droits qu’un auteur tient du paragraphe 3 de l’article 19 sont nécessaires et que, même si un État adopte un régime d’autorisation destiné à instaurer un équilibre entre la liberté d’expression de chacun et le maintien de l’ordre public dans un espace donné dans l’intérêt de la collectivité, un tel régime ne doit pas être incompatible avec l’article 19 du Pacte</w:t>
      </w:r>
      <w:r w:rsidR="007F024D" w:rsidRPr="00B7560E">
        <w:rPr>
          <w:rStyle w:val="Appelnotedebasdep"/>
          <w:lang w:val="fr-CA"/>
        </w:rPr>
        <w:footnoteReference w:id="9"/>
      </w:r>
      <w:r w:rsidRPr="00B7560E">
        <w:rPr>
          <w:lang w:val="fr-CA"/>
        </w:rPr>
        <w:t>.</w:t>
      </w:r>
    </w:p>
    <w:p w:rsidR="00896FBA" w:rsidRPr="00B7560E" w:rsidRDefault="00566F01" w:rsidP="009F3086">
      <w:pPr>
        <w:pStyle w:val="Style1"/>
        <w:keepLines w:val="0"/>
        <w:numPr>
          <w:ilvl w:val="0"/>
          <w:numId w:val="36"/>
        </w:numPr>
        <w:ind w:left="720"/>
      </w:pPr>
      <w:bookmarkStart w:id="7" w:name="_Toc383772276"/>
      <w:bookmarkStart w:id="8" w:name="_Toc383772368"/>
      <w:bookmarkStart w:id="9" w:name="_Toc383772723"/>
      <w:r w:rsidRPr="00B7560E">
        <w:t>Procédures spéciales</w:t>
      </w:r>
      <w:bookmarkEnd w:id="7"/>
      <w:bookmarkEnd w:id="8"/>
      <w:bookmarkEnd w:id="9"/>
    </w:p>
    <w:p w:rsidR="00896FBA" w:rsidRPr="00B7560E" w:rsidRDefault="007F024D" w:rsidP="00ED2A7C">
      <w:pPr>
        <w:pStyle w:val="ParNoG"/>
        <w:tabs>
          <w:tab w:val="clear" w:pos="1701"/>
        </w:tabs>
        <w:ind w:left="624"/>
        <w:rPr>
          <w:lang w:val="fr-CA"/>
        </w:rPr>
      </w:pPr>
      <w:r w:rsidRPr="00B7560E">
        <w:rPr>
          <w:lang w:val="fr-CA"/>
        </w:rPr>
        <w:t xml:space="preserve">Dans son </w:t>
      </w:r>
      <w:r w:rsidR="00E176EA" w:rsidRPr="00B7560E">
        <w:rPr>
          <w:lang w:val="fr-CA"/>
        </w:rPr>
        <w:t xml:space="preserve">premier </w:t>
      </w:r>
      <w:r w:rsidRPr="00B7560E">
        <w:rPr>
          <w:lang w:val="fr-CA"/>
        </w:rPr>
        <w:t>rapport au Conseil des droits de l’homme, le Rapporteur spécial sur le droit de réunion pacifique et la liberté d’association</w:t>
      </w:r>
      <w:r w:rsidR="00E9121D" w:rsidRPr="00B7560E">
        <w:rPr>
          <w:lang w:val="fr-CA"/>
        </w:rPr>
        <w:t xml:space="preserve"> a </w:t>
      </w:r>
      <w:r w:rsidR="00E176EA" w:rsidRPr="00B7560E">
        <w:rPr>
          <w:lang w:val="fr-CA"/>
        </w:rPr>
        <w:t xml:space="preserve">inclus dans la </w:t>
      </w:r>
      <w:r w:rsidR="00E9121D" w:rsidRPr="00B7560E">
        <w:rPr>
          <w:lang w:val="fr-CA"/>
        </w:rPr>
        <w:t>défini</w:t>
      </w:r>
      <w:r w:rsidR="00E176EA" w:rsidRPr="00B7560E">
        <w:rPr>
          <w:lang w:val="fr-CA"/>
        </w:rPr>
        <w:t>tion du</w:t>
      </w:r>
      <w:r w:rsidR="00E9121D" w:rsidRPr="00B7560E">
        <w:rPr>
          <w:lang w:val="fr-CA"/>
        </w:rPr>
        <w:t xml:space="preserve"> terme « réunion »</w:t>
      </w:r>
      <w:r w:rsidR="00E176EA" w:rsidRPr="00B7560E">
        <w:rPr>
          <w:lang w:val="fr-CA"/>
        </w:rPr>
        <w:t xml:space="preserve"> les manifestations, grèves, défilés, rassemblements, et même les sit-in. Il a donné des précisions sur le cadre juridique international applicable aux réunions pacifiques, y compris les restrictions dont le droit de réunion pacifique peut faire </w:t>
      </w:r>
      <w:r w:rsidR="003A6CC4" w:rsidRPr="00B7560E">
        <w:rPr>
          <w:lang w:val="fr-CA"/>
        </w:rPr>
        <w:t>l’objet et les liens entre l’article 21 et les autres droits énoncés dans le Pacte. Il a également souligné l’obligation faite aux</w:t>
      </w:r>
      <w:r w:rsidR="00E176EA" w:rsidRPr="00B7560E">
        <w:rPr>
          <w:lang w:val="fr-CA"/>
        </w:rPr>
        <w:t xml:space="preserve"> États </w:t>
      </w:r>
      <w:r w:rsidR="003A6CC4" w:rsidRPr="00B7560E">
        <w:rPr>
          <w:lang w:val="fr-CA"/>
        </w:rPr>
        <w:t xml:space="preserve">de </w:t>
      </w:r>
      <w:r w:rsidR="00E176EA" w:rsidRPr="00B7560E">
        <w:rPr>
          <w:lang w:val="fr-CA"/>
        </w:rPr>
        <w:t xml:space="preserve">faciliter et </w:t>
      </w:r>
      <w:r w:rsidR="003A6CC4" w:rsidRPr="00B7560E">
        <w:rPr>
          <w:lang w:val="fr-CA"/>
        </w:rPr>
        <w:t xml:space="preserve">de </w:t>
      </w:r>
      <w:r w:rsidR="00E176EA" w:rsidRPr="00B7560E">
        <w:rPr>
          <w:lang w:val="fr-CA"/>
        </w:rPr>
        <w:t>protéger les réunions pacifiques, notamment par la négociation et la médiation</w:t>
      </w:r>
      <w:r w:rsidR="005E3A85">
        <w:rPr>
          <w:rStyle w:val="Appelnotedebasdep"/>
        </w:rPr>
        <w:footnoteReference w:id="10"/>
      </w:r>
      <w:r w:rsidR="00E176EA" w:rsidRPr="00B7560E">
        <w:rPr>
          <w:lang w:val="fr-CA"/>
        </w:rPr>
        <w:t xml:space="preserve">. </w:t>
      </w:r>
      <w:r w:rsidR="003A6CC4" w:rsidRPr="00B7560E">
        <w:rPr>
          <w:lang w:val="fr-CA"/>
        </w:rPr>
        <w:t xml:space="preserve">Il a en outre signalé que le droit de réunion pacifique est </w:t>
      </w:r>
      <w:r w:rsidR="00E176EA" w:rsidRPr="00B7560E">
        <w:rPr>
          <w:lang w:val="fr-CA"/>
        </w:rPr>
        <w:t>également reconnu par l’article</w:t>
      </w:r>
      <w:r w:rsidR="003A6CC4" w:rsidRPr="00B7560E">
        <w:rPr>
          <w:lang w:val="fr-CA"/>
        </w:rPr>
        <w:t> </w:t>
      </w:r>
      <w:r w:rsidR="00E176EA" w:rsidRPr="00B7560E">
        <w:rPr>
          <w:lang w:val="fr-CA"/>
        </w:rPr>
        <w:t>8 du Pacte international relatif aux droits économiques, sociaux et culturels et d’autres traités ou instruments internationaux et régionaux (paragraphe 14).</w:t>
      </w:r>
    </w:p>
    <w:p w:rsidR="003A6CC4" w:rsidRPr="00B7560E" w:rsidRDefault="003A6CC4" w:rsidP="00ED2A7C">
      <w:pPr>
        <w:pStyle w:val="ParNoG"/>
        <w:tabs>
          <w:tab w:val="clear" w:pos="1701"/>
        </w:tabs>
        <w:ind w:left="624"/>
        <w:rPr>
          <w:lang w:val="fr-CA"/>
        </w:rPr>
      </w:pPr>
      <w:r w:rsidRPr="00B7560E">
        <w:rPr>
          <w:lang w:val="fr-CA"/>
        </w:rPr>
        <w:t xml:space="preserve">Dans leur contribution commune à ce rapport, les Rapporteurs spéciaux sur le droit de réunion pacifique et la liberté d’association, sur la liberté d’opinion et d’expression et </w:t>
      </w:r>
      <w:r w:rsidRPr="00B7560E">
        <w:rPr>
          <w:szCs w:val="22"/>
          <w:lang w:val="fr-CA"/>
        </w:rPr>
        <w:t xml:space="preserve">sur la situation des défenseurs des droits de l’homme ont </w:t>
      </w:r>
      <w:r w:rsidR="006047E1" w:rsidRPr="00B7560E">
        <w:rPr>
          <w:szCs w:val="22"/>
          <w:lang w:val="fr-CA"/>
        </w:rPr>
        <w:t xml:space="preserve">relevé </w:t>
      </w:r>
      <w:r w:rsidR="009132EF" w:rsidRPr="00B7560E">
        <w:rPr>
          <w:szCs w:val="22"/>
          <w:lang w:val="fr-CA"/>
        </w:rPr>
        <w:t xml:space="preserve">que les États devraient reconnaître le rôle positif joué par les manifestations pacifiques en tant que moyen de renforcer les droits de l’homme et la démocratie et </w:t>
      </w:r>
      <w:r w:rsidR="004A0027" w:rsidRPr="00B7560E">
        <w:rPr>
          <w:szCs w:val="22"/>
          <w:lang w:val="fr-CA"/>
        </w:rPr>
        <w:t xml:space="preserve">qu’ils </w:t>
      </w:r>
      <w:r w:rsidR="009132EF" w:rsidRPr="00B7560E">
        <w:rPr>
          <w:szCs w:val="22"/>
          <w:lang w:val="fr-CA"/>
        </w:rPr>
        <w:t xml:space="preserve">devraient garantir les droits à la liberté de réunion pacifique, à la liberté d’association, et à la liberté d’opinion et d’expression, des éléments essentiels de la démocratie </w:t>
      </w:r>
      <w:r w:rsidR="0073544D">
        <w:rPr>
          <w:szCs w:val="22"/>
          <w:lang w:val="fr-CA"/>
        </w:rPr>
        <w:t xml:space="preserve">qui </w:t>
      </w:r>
      <w:r w:rsidR="009132EF" w:rsidRPr="00B7560E">
        <w:rPr>
          <w:szCs w:val="22"/>
          <w:lang w:val="fr-CA"/>
        </w:rPr>
        <w:t xml:space="preserve">sont indispensables à la pleine jouissance de tous les droits humains. Trop souvent, ces droits étaient indûment limités ou </w:t>
      </w:r>
      <w:r w:rsidR="00B278CC" w:rsidRPr="00B7560E">
        <w:rPr>
          <w:szCs w:val="22"/>
          <w:lang w:val="fr-CA"/>
        </w:rPr>
        <w:t>simple</w:t>
      </w:r>
      <w:r w:rsidR="009132EF" w:rsidRPr="00B7560E">
        <w:rPr>
          <w:szCs w:val="22"/>
          <w:lang w:val="fr-CA"/>
        </w:rPr>
        <w:t>ment refusés dans le contexte de</w:t>
      </w:r>
      <w:r w:rsidR="002C2060" w:rsidRPr="00B7560E">
        <w:rPr>
          <w:szCs w:val="22"/>
          <w:lang w:val="fr-CA"/>
        </w:rPr>
        <w:t>s</w:t>
      </w:r>
      <w:r w:rsidR="009132EF" w:rsidRPr="00B7560E">
        <w:rPr>
          <w:szCs w:val="22"/>
          <w:lang w:val="fr-CA"/>
        </w:rPr>
        <w:t xml:space="preserve"> manifestations pacifiques.</w:t>
      </w:r>
    </w:p>
    <w:p w:rsidR="00CC6B85" w:rsidRPr="00B7560E" w:rsidRDefault="004A0027" w:rsidP="00ED2A7C">
      <w:pPr>
        <w:pStyle w:val="ParNoG"/>
        <w:tabs>
          <w:tab w:val="clear" w:pos="1701"/>
        </w:tabs>
        <w:ind w:left="624"/>
        <w:rPr>
          <w:lang w:val="fr-CA"/>
        </w:rPr>
      </w:pPr>
      <w:r w:rsidRPr="00B7560E">
        <w:rPr>
          <w:lang w:val="fr-CA"/>
        </w:rPr>
        <w:t>Bien entendu</w:t>
      </w:r>
      <w:r w:rsidR="002C2060" w:rsidRPr="00B7560E">
        <w:rPr>
          <w:lang w:val="fr-CA"/>
        </w:rPr>
        <w:t xml:space="preserve">, seules les manifestations </w:t>
      </w:r>
      <w:r w:rsidR="0073544D">
        <w:rPr>
          <w:lang w:val="fr-CA"/>
        </w:rPr>
        <w:t xml:space="preserve">se déroulant </w:t>
      </w:r>
      <w:r w:rsidR="002C2060" w:rsidRPr="00B7560E">
        <w:rPr>
          <w:lang w:val="fr-CA"/>
        </w:rPr>
        <w:t>pacifique</w:t>
      </w:r>
      <w:r w:rsidR="0073544D">
        <w:rPr>
          <w:lang w:val="fr-CA"/>
        </w:rPr>
        <w:t>ment</w:t>
      </w:r>
      <w:r w:rsidR="002C2060" w:rsidRPr="00B7560E">
        <w:rPr>
          <w:lang w:val="fr-CA"/>
        </w:rPr>
        <w:t xml:space="preserve"> sont protégées par la législation</w:t>
      </w:r>
      <w:r w:rsidR="00A655CF" w:rsidRPr="00B7560E">
        <w:rPr>
          <w:lang w:val="fr-CA"/>
        </w:rPr>
        <w:t xml:space="preserve"> internationale </w:t>
      </w:r>
      <w:r w:rsidR="002C2060" w:rsidRPr="00B7560E">
        <w:rPr>
          <w:lang w:val="fr-CA"/>
        </w:rPr>
        <w:t xml:space="preserve">en matière </w:t>
      </w:r>
      <w:r w:rsidR="00A655CF" w:rsidRPr="00B7560E">
        <w:rPr>
          <w:lang w:val="fr-CA"/>
        </w:rPr>
        <w:t>de droits de l’homme.</w:t>
      </w:r>
      <w:r w:rsidR="00CC6B85" w:rsidRPr="00B7560E">
        <w:rPr>
          <w:lang w:val="fr-CA"/>
        </w:rPr>
        <w:t xml:space="preserve"> Une réunion devrait être considérée comme pacifique </w:t>
      </w:r>
      <w:r w:rsidR="001C4B9A" w:rsidRPr="00B7560E">
        <w:rPr>
          <w:lang w:val="fr-CA"/>
        </w:rPr>
        <w:t xml:space="preserve">dès </w:t>
      </w:r>
      <w:r w:rsidR="00CC6B85" w:rsidRPr="00B7560E">
        <w:rPr>
          <w:lang w:val="fr-CA"/>
        </w:rPr>
        <w:t>lors</w:t>
      </w:r>
      <w:r w:rsidR="001C4B9A" w:rsidRPr="00B7560E">
        <w:rPr>
          <w:lang w:val="fr-CA"/>
        </w:rPr>
        <w:t xml:space="preserve"> </w:t>
      </w:r>
      <w:r w:rsidR="00CC6B85" w:rsidRPr="00B7560E">
        <w:rPr>
          <w:lang w:val="fr-CA"/>
        </w:rPr>
        <w:t>que ses organisateurs et les participants nourrissent des intentions pacifiques et n’utilisent ni prônent la violence, ni y incitent; ces traits devraient être présumés.</w:t>
      </w:r>
      <w:r w:rsidR="000B09A7" w:rsidRPr="00B7560E">
        <w:rPr>
          <w:lang w:val="fr-CA"/>
        </w:rPr>
        <w:t xml:space="preserve"> Les organisateurs d</w:t>
      </w:r>
      <w:r w:rsidR="001C4B9A" w:rsidRPr="00B7560E">
        <w:rPr>
          <w:lang w:val="fr-CA"/>
        </w:rPr>
        <w:t xml:space="preserve">’une </w:t>
      </w:r>
      <w:r w:rsidR="000B09A7" w:rsidRPr="00B7560E">
        <w:rPr>
          <w:lang w:val="fr-CA"/>
        </w:rPr>
        <w:t>réunion ne devraient pas être tenus pour responsables d</w:t>
      </w:r>
      <w:r w:rsidR="00AF0CBD" w:rsidRPr="00B7560E">
        <w:rPr>
          <w:lang w:val="fr-CA"/>
        </w:rPr>
        <w:t>es actes violents</w:t>
      </w:r>
      <w:r w:rsidR="005B2D6C" w:rsidRPr="00B7560E">
        <w:rPr>
          <w:lang w:val="fr-CA"/>
        </w:rPr>
        <w:t xml:space="preserve"> com</w:t>
      </w:r>
      <w:r w:rsidR="00AF0CBD" w:rsidRPr="00B7560E">
        <w:rPr>
          <w:lang w:val="fr-CA"/>
        </w:rPr>
        <w:t>mis par des tiers</w:t>
      </w:r>
      <w:r w:rsidR="000B09A7" w:rsidRPr="00B7560E">
        <w:rPr>
          <w:lang w:val="fr-CA"/>
        </w:rPr>
        <w:t>.</w:t>
      </w:r>
      <w:r w:rsidR="003F6529" w:rsidRPr="00B7560E">
        <w:rPr>
          <w:lang w:val="fr-CA"/>
        </w:rPr>
        <w:t xml:space="preserve"> Au contraire, la police </w:t>
      </w:r>
      <w:r w:rsidR="005B2D6C" w:rsidRPr="00B7560E">
        <w:rPr>
          <w:lang w:val="fr-CA"/>
        </w:rPr>
        <w:t xml:space="preserve">a le devoir d’extirper les </w:t>
      </w:r>
      <w:r w:rsidR="00AF0CBD" w:rsidRPr="00B7560E">
        <w:rPr>
          <w:lang w:val="fr-CA"/>
        </w:rPr>
        <w:t>fauteurs de troubles</w:t>
      </w:r>
      <w:r w:rsidR="005B2D6C" w:rsidRPr="00B7560E">
        <w:rPr>
          <w:lang w:val="fr-CA"/>
        </w:rPr>
        <w:t xml:space="preserve"> de la foule des manifestants</w:t>
      </w:r>
      <w:r w:rsidR="003F6529" w:rsidRPr="00B7560E">
        <w:rPr>
          <w:lang w:val="fr-CA"/>
        </w:rPr>
        <w:t xml:space="preserve"> afin de permettre aux </w:t>
      </w:r>
      <w:r w:rsidR="005B2D6C" w:rsidRPr="00B7560E">
        <w:rPr>
          <w:lang w:val="fr-CA"/>
        </w:rPr>
        <w:t>autres</w:t>
      </w:r>
      <w:r w:rsidR="003F6529" w:rsidRPr="00B7560E">
        <w:rPr>
          <w:lang w:val="fr-CA"/>
        </w:rPr>
        <w:t xml:space="preserve"> d’exercer leur droit fondamenta</w:t>
      </w:r>
      <w:r w:rsidR="005B2D6C" w:rsidRPr="00B7560E">
        <w:rPr>
          <w:lang w:val="fr-CA"/>
        </w:rPr>
        <w:t>l</w:t>
      </w:r>
      <w:r w:rsidR="003F6529" w:rsidRPr="00B7560E">
        <w:rPr>
          <w:lang w:val="fr-CA"/>
        </w:rPr>
        <w:t xml:space="preserve"> de s</w:t>
      </w:r>
      <w:r w:rsidR="005B2D6C" w:rsidRPr="00B7560E">
        <w:rPr>
          <w:lang w:val="fr-CA"/>
        </w:rPr>
        <w:t>e réunir</w:t>
      </w:r>
      <w:r w:rsidR="003F6529" w:rsidRPr="00B7560E">
        <w:rPr>
          <w:lang w:val="fr-CA"/>
        </w:rPr>
        <w:t xml:space="preserve"> et de s’exprimer pacifiquement</w:t>
      </w:r>
    </w:p>
    <w:p w:rsidR="00AF0CBD" w:rsidRPr="00B7560E" w:rsidRDefault="00AF0CBD" w:rsidP="00ED2A7C">
      <w:pPr>
        <w:pStyle w:val="ParNoG"/>
        <w:tabs>
          <w:tab w:val="clear" w:pos="1701"/>
        </w:tabs>
        <w:ind w:left="624"/>
        <w:rPr>
          <w:lang w:val="fr-CA"/>
        </w:rPr>
      </w:pPr>
      <w:r w:rsidRPr="00B7560E">
        <w:rPr>
          <w:lang w:val="fr-CA"/>
        </w:rPr>
        <w:t>L</w:t>
      </w:r>
      <w:r w:rsidR="0073544D">
        <w:rPr>
          <w:lang w:val="fr-CA"/>
        </w:rPr>
        <w:t>a tenue d’une manifestation</w:t>
      </w:r>
      <w:r w:rsidRPr="00B7560E">
        <w:rPr>
          <w:lang w:val="fr-CA"/>
        </w:rPr>
        <w:t xml:space="preserve"> ne devrait pas être </w:t>
      </w:r>
      <w:r w:rsidR="0073544D">
        <w:rPr>
          <w:lang w:val="fr-CA"/>
        </w:rPr>
        <w:t>soumise</w:t>
      </w:r>
      <w:r w:rsidRPr="00B7560E">
        <w:rPr>
          <w:lang w:val="fr-CA"/>
        </w:rPr>
        <w:t xml:space="preserve"> à une autorisation </w:t>
      </w:r>
      <w:r w:rsidR="0073544D">
        <w:rPr>
          <w:lang w:val="fr-CA"/>
        </w:rPr>
        <w:t xml:space="preserve">préalable </w:t>
      </w:r>
      <w:r w:rsidRPr="00B7560E">
        <w:rPr>
          <w:lang w:val="fr-CA"/>
        </w:rPr>
        <w:t xml:space="preserve">des pouvoirs publics, mais, </w:t>
      </w:r>
      <w:r w:rsidR="0073544D">
        <w:rPr>
          <w:lang w:val="fr-CA"/>
        </w:rPr>
        <w:t xml:space="preserve">tout </w:t>
      </w:r>
      <w:r w:rsidRPr="00B7560E">
        <w:rPr>
          <w:lang w:val="fr-CA"/>
        </w:rPr>
        <w:t xml:space="preserve">au plus, à une procédure de notification préalable </w:t>
      </w:r>
      <w:r w:rsidR="00CB1AB3" w:rsidRPr="00B7560E">
        <w:rPr>
          <w:lang w:val="fr-CA"/>
        </w:rPr>
        <w:t>dont la raison d’être est de</w:t>
      </w:r>
      <w:r w:rsidRPr="00B7560E">
        <w:rPr>
          <w:lang w:val="fr-CA"/>
        </w:rPr>
        <w:t xml:space="preserve"> </w:t>
      </w:r>
      <w:r w:rsidR="00CB1AB3" w:rsidRPr="00B7560E">
        <w:rPr>
          <w:lang w:val="fr-CA"/>
        </w:rPr>
        <w:t>faire en sorte que les</w:t>
      </w:r>
      <w:r w:rsidRPr="00B7560E">
        <w:rPr>
          <w:lang w:val="fr-CA"/>
        </w:rPr>
        <w:t xml:space="preserve"> autorités </w:t>
      </w:r>
      <w:r w:rsidR="00CB1AB3" w:rsidRPr="00B7560E">
        <w:rPr>
          <w:lang w:val="fr-CA"/>
        </w:rPr>
        <w:t>puissent</w:t>
      </w:r>
      <w:r w:rsidRPr="00B7560E">
        <w:rPr>
          <w:lang w:val="fr-CA"/>
        </w:rPr>
        <w:t xml:space="preserve"> faciliter l’exercice du droit à la li</w:t>
      </w:r>
      <w:r w:rsidR="00CB1AB3" w:rsidRPr="00B7560E">
        <w:rPr>
          <w:lang w:val="fr-CA"/>
        </w:rPr>
        <w:t>berté de réunion pacifique et prendre des mesures appropriées pour</w:t>
      </w:r>
      <w:r w:rsidRPr="00B7560E">
        <w:rPr>
          <w:lang w:val="fr-CA"/>
        </w:rPr>
        <w:t xml:space="preserve"> </w:t>
      </w:r>
      <w:r w:rsidR="00CB1AB3" w:rsidRPr="00B7560E">
        <w:rPr>
          <w:lang w:val="fr-CA"/>
        </w:rPr>
        <w:t>assurer la sécurité et</w:t>
      </w:r>
      <w:r w:rsidRPr="00B7560E">
        <w:rPr>
          <w:lang w:val="fr-CA"/>
        </w:rPr>
        <w:t xml:space="preserve"> l’ordre public</w:t>
      </w:r>
      <w:r w:rsidR="00CB1AB3" w:rsidRPr="00B7560E">
        <w:rPr>
          <w:lang w:val="fr-CA"/>
        </w:rPr>
        <w:t xml:space="preserve">s et protéger </w:t>
      </w:r>
      <w:r w:rsidRPr="00B7560E">
        <w:rPr>
          <w:lang w:val="fr-CA"/>
        </w:rPr>
        <w:t xml:space="preserve">les droits et libertés </w:t>
      </w:r>
      <w:r w:rsidR="00CB1AB3" w:rsidRPr="00B7560E">
        <w:rPr>
          <w:lang w:val="fr-CA"/>
        </w:rPr>
        <w:t xml:space="preserve">aussi bien des manifestants que des autres individus concernés. </w:t>
      </w:r>
      <w:r w:rsidR="00C1500A" w:rsidRPr="00B7560E">
        <w:rPr>
          <w:lang w:val="fr-CA"/>
        </w:rPr>
        <w:t xml:space="preserve">La même procédure devrait s’appliquer aux réunions spontanées et simultanées, qui devraient également être protégées. </w:t>
      </w:r>
      <w:r w:rsidR="00AF1BA8" w:rsidRPr="00B7560E">
        <w:rPr>
          <w:lang w:val="fr-CA"/>
        </w:rPr>
        <w:t xml:space="preserve">En tout état de cause, les organisateurs </w:t>
      </w:r>
      <w:r w:rsidR="009449BB" w:rsidRPr="00B7560E">
        <w:rPr>
          <w:lang w:val="fr-CA"/>
        </w:rPr>
        <w:t>qui auraient</w:t>
      </w:r>
      <w:r w:rsidR="00AF1BA8" w:rsidRPr="00B7560E">
        <w:rPr>
          <w:lang w:val="fr-CA"/>
        </w:rPr>
        <w:t xml:space="preserve"> omis de demander une autorisation</w:t>
      </w:r>
      <w:r w:rsidR="009449BB" w:rsidRPr="00B7560E">
        <w:rPr>
          <w:lang w:val="fr-CA"/>
        </w:rPr>
        <w:t xml:space="preserve"> ne devraient pas faire l’objet de sanctions pénales</w:t>
      </w:r>
      <w:r w:rsidR="00AF1BA8" w:rsidRPr="00B7560E">
        <w:rPr>
          <w:lang w:val="fr-CA"/>
        </w:rPr>
        <w:t>.</w:t>
      </w:r>
    </w:p>
    <w:p w:rsidR="002C2060" w:rsidRPr="00B7560E" w:rsidRDefault="00C1500A" w:rsidP="00ED2A7C">
      <w:pPr>
        <w:pStyle w:val="ParNoG"/>
        <w:tabs>
          <w:tab w:val="clear" w:pos="1701"/>
        </w:tabs>
        <w:ind w:left="624"/>
        <w:rPr>
          <w:lang w:val="fr-CA"/>
        </w:rPr>
      </w:pPr>
      <w:r w:rsidRPr="00B7560E">
        <w:rPr>
          <w:lang w:val="fr-CA"/>
        </w:rPr>
        <w:t>Lorsqu’une restriction de</w:t>
      </w:r>
      <w:r w:rsidR="0073544D">
        <w:rPr>
          <w:lang w:val="fr-CA"/>
        </w:rPr>
        <w:t>s droits à</w:t>
      </w:r>
      <w:r w:rsidRPr="00B7560E">
        <w:rPr>
          <w:lang w:val="fr-CA"/>
        </w:rPr>
        <w:t xml:space="preserve"> la liberté de réunion, </w:t>
      </w:r>
      <w:r w:rsidR="0073544D">
        <w:rPr>
          <w:lang w:val="fr-CA"/>
        </w:rPr>
        <w:t>à</w:t>
      </w:r>
      <w:r w:rsidR="0073544D" w:rsidRPr="00B7560E">
        <w:rPr>
          <w:lang w:val="fr-CA"/>
        </w:rPr>
        <w:t xml:space="preserve"> la liberté </w:t>
      </w:r>
      <w:r w:rsidRPr="00B7560E">
        <w:rPr>
          <w:lang w:val="fr-CA"/>
        </w:rPr>
        <w:t xml:space="preserve">d’opinion et d’expression ou </w:t>
      </w:r>
      <w:r w:rsidR="0073544D">
        <w:rPr>
          <w:lang w:val="fr-CA"/>
        </w:rPr>
        <w:t>à</w:t>
      </w:r>
      <w:r w:rsidR="0073544D" w:rsidRPr="00B7560E">
        <w:rPr>
          <w:lang w:val="fr-CA"/>
        </w:rPr>
        <w:t xml:space="preserve"> la liberté </w:t>
      </w:r>
      <w:r w:rsidRPr="00B7560E">
        <w:rPr>
          <w:lang w:val="fr-CA"/>
        </w:rPr>
        <w:t xml:space="preserve">d’association s’impose pour des raisons légitimes, les autorités devraient, de préférence, toujours recourir au moyen le moins </w:t>
      </w:r>
      <w:r w:rsidR="0073544D">
        <w:rPr>
          <w:lang w:val="fr-CA"/>
        </w:rPr>
        <w:t>intrusif</w:t>
      </w:r>
      <w:r w:rsidRPr="00B7560E">
        <w:rPr>
          <w:lang w:val="fr-CA"/>
        </w:rPr>
        <w:t xml:space="preserve"> d’obtenir le résultat recherché. La liberté d’organiser des manifestations pacifiques et de participer à de telles </w:t>
      </w:r>
      <w:r w:rsidR="0073544D">
        <w:rPr>
          <w:lang w:val="fr-CA"/>
        </w:rPr>
        <w:t>manifestat</w:t>
      </w:r>
      <w:r w:rsidRPr="00B7560E">
        <w:rPr>
          <w:lang w:val="fr-CA"/>
        </w:rPr>
        <w:t>ions doit être considérée comme la règle et toute restriction de cette liberté comme une exception.</w:t>
      </w:r>
      <w:r w:rsidR="00F27404" w:rsidRPr="00B7560E">
        <w:rPr>
          <w:lang w:val="fr-CA"/>
        </w:rPr>
        <w:t xml:space="preserve"> À cet égard, la protection des droits et libertés d’autrui ne devrait pas servir de prétexte pour limiter l’exercice du droit de manifester pacifiquement. À moins d</w:t>
      </w:r>
      <w:r w:rsidR="00F44622" w:rsidRPr="00B7560E">
        <w:rPr>
          <w:lang w:val="fr-CA"/>
        </w:rPr>
        <w:t>e n</w:t>
      </w:r>
      <w:r w:rsidR="00F27404" w:rsidRPr="00B7560E">
        <w:rPr>
          <w:lang w:val="fr-CA"/>
        </w:rPr>
        <w:t>’</w:t>
      </w:r>
      <w:r w:rsidR="00395FE1" w:rsidRPr="00B7560E">
        <w:rPr>
          <w:lang w:val="fr-CA"/>
        </w:rPr>
        <w:t xml:space="preserve">être </w:t>
      </w:r>
      <w:r w:rsidR="00F44622" w:rsidRPr="00B7560E">
        <w:rPr>
          <w:lang w:val="fr-CA"/>
        </w:rPr>
        <w:t>utilisées qu’en</w:t>
      </w:r>
      <w:r w:rsidR="00395FE1" w:rsidRPr="00B7560E">
        <w:rPr>
          <w:lang w:val="fr-CA"/>
        </w:rPr>
        <w:t xml:space="preserve"> dernier recours</w:t>
      </w:r>
      <w:r w:rsidR="00F44622" w:rsidRPr="00B7560E">
        <w:rPr>
          <w:lang w:val="fr-CA"/>
        </w:rPr>
        <w:t xml:space="preserve"> pour protéger des vies</w:t>
      </w:r>
      <w:r w:rsidR="00395FE1" w:rsidRPr="00B7560E">
        <w:rPr>
          <w:lang w:val="fr-CA"/>
        </w:rPr>
        <w:t>, l</w:t>
      </w:r>
      <w:r w:rsidR="00F44622" w:rsidRPr="00B7560E">
        <w:rPr>
          <w:lang w:val="fr-CA"/>
        </w:rPr>
        <w:t xml:space="preserve">es mesures </w:t>
      </w:r>
      <w:r w:rsidR="00F27404" w:rsidRPr="00B7560E">
        <w:rPr>
          <w:lang w:val="fr-CA"/>
        </w:rPr>
        <w:t>interdi</w:t>
      </w:r>
      <w:r w:rsidR="00F44622" w:rsidRPr="00B7560E">
        <w:rPr>
          <w:lang w:val="fr-CA"/>
        </w:rPr>
        <w:t>sant globalement toute réunion tenue</w:t>
      </w:r>
      <w:r w:rsidR="00395FE1" w:rsidRPr="00B7560E">
        <w:rPr>
          <w:lang w:val="fr-CA"/>
        </w:rPr>
        <w:t xml:space="preserve"> à certaines heures ou à certains endroits </w:t>
      </w:r>
      <w:r w:rsidR="00F44622" w:rsidRPr="00B7560E">
        <w:rPr>
          <w:lang w:val="fr-CA"/>
        </w:rPr>
        <w:t>violent les</w:t>
      </w:r>
      <w:r w:rsidR="00395FE1" w:rsidRPr="00B7560E">
        <w:rPr>
          <w:lang w:val="fr-CA"/>
        </w:rPr>
        <w:t xml:space="preserve"> droits humains </w:t>
      </w:r>
      <w:r w:rsidR="00572F86" w:rsidRPr="00B7560E">
        <w:rPr>
          <w:lang w:val="fr-CA"/>
        </w:rPr>
        <w:t xml:space="preserve">concernant les </w:t>
      </w:r>
      <w:r w:rsidR="00395FE1" w:rsidRPr="00B7560E">
        <w:rPr>
          <w:lang w:val="fr-CA"/>
        </w:rPr>
        <w:t>manifestations pacifiques.</w:t>
      </w:r>
    </w:p>
    <w:p w:rsidR="00572F86" w:rsidRPr="00B7560E" w:rsidRDefault="00572F86" w:rsidP="00ED2A7C">
      <w:pPr>
        <w:pStyle w:val="ParNoG"/>
        <w:tabs>
          <w:tab w:val="clear" w:pos="1701"/>
        </w:tabs>
        <w:ind w:left="624"/>
        <w:rPr>
          <w:lang w:val="fr-CA"/>
        </w:rPr>
      </w:pPr>
      <w:r w:rsidRPr="00B7560E">
        <w:rPr>
          <w:lang w:val="fr-CA"/>
        </w:rPr>
        <w:t xml:space="preserve">La dispersion d’une manifestation ne devrait s’envisager qu’en dernier recours. Les forces de l’ordre devraient </w:t>
      </w:r>
      <w:r w:rsidR="007D1F65" w:rsidRPr="00B7560E">
        <w:rPr>
          <w:lang w:val="fr-CA"/>
        </w:rPr>
        <w:t>éviter d</w:t>
      </w:r>
      <w:r w:rsidR="00D20A92" w:rsidRPr="00B7560E">
        <w:rPr>
          <w:lang w:val="fr-CA"/>
        </w:rPr>
        <w:t>’employer</w:t>
      </w:r>
      <w:r w:rsidR="007D1F65" w:rsidRPr="00B7560E">
        <w:rPr>
          <w:lang w:val="fr-CA"/>
        </w:rPr>
        <w:t xml:space="preserve"> la force </w:t>
      </w:r>
      <w:r w:rsidRPr="00B7560E">
        <w:rPr>
          <w:lang w:val="fr-CA"/>
        </w:rPr>
        <w:t>durant les manifestations pacifiques</w:t>
      </w:r>
      <w:r w:rsidR="00D20A92" w:rsidRPr="00B7560E">
        <w:rPr>
          <w:lang w:val="fr-CA"/>
        </w:rPr>
        <w:t>,</w:t>
      </w:r>
      <w:r w:rsidRPr="00B7560E">
        <w:rPr>
          <w:lang w:val="fr-CA"/>
        </w:rPr>
        <w:t xml:space="preserve"> </w:t>
      </w:r>
      <w:r w:rsidR="00D20A92" w:rsidRPr="00B7560E">
        <w:rPr>
          <w:lang w:val="fr-CA"/>
        </w:rPr>
        <w:t>sauf</w:t>
      </w:r>
      <w:r w:rsidR="009449BB" w:rsidRPr="00B7560E">
        <w:rPr>
          <w:lang w:val="fr-CA"/>
        </w:rPr>
        <w:t xml:space="preserve"> dans des cas</w:t>
      </w:r>
      <w:r w:rsidRPr="00B7560E">
        <w:rPr>
          <w:lang w:val="fr-CA"/>
        </w:rPr>
        <w:t xml:space="preserve"> exceptionnel</w:t>
      </w:r>
      <w:r w:rsidR="009449BB" w:rsidRPr="00B7560E">
        <w:rPr>
          <w:lang w:val="fr-CA"/>
        </w:rPr>
        <w:t>s</w:t>
      </w:r>
      <w:r w:rsidR="007D1F65" w:rsidRPr="00B7560E">
        <w:rPr>
          <w:lang w:val="fr-CA"/>
        </w:rPr>
        <w:t>.</w:t>
      </w:r>
    </w:p>
    <w:p w:rsidR="007D1F65" w:rsidRPr="00B7560E" w:rsidRDefault="007D1F65" w:rsidP="00ED2A7C">
      <w:pPr>
        <w:pStyle w:val="ParNoG"/>
        <w:tabs>
          <w:tab w:val="clear" w:pos="1701"/>
        </w:tabs>
        <w:ind w:left="624"/>
        <w:rPr>
          <w:lang w:val="fr-CA"/>
        </w:rPr>
      </w:pPr>
      <w:r w:rsidRPr="00B7560E">
        <w:rPr>
          <w:lang w:val="fr-CA"/>
        </w:rPr>
        <w:t xml:space="preserve">Le paragraphe 2 de l’article 4 du Pacte international relatif aux droits civils et politiques stipule que </w:t>
      </w:r>
      <w:r w:rsidR="007D311A" w:rsidRPr="00B7560E">
        <w:rPr>
          <w:lang w:val="fr-CA"/>
        </w:rPr>
        <w:t>le droit à la vie et l’interdiction de la torture et des peines ou traitements cruels, inhumains ou dégradants n’admettent aucune dérogation.</w:t>
      </w:r>
      <w:r w:rsidR="009449BB" w:rsidRPr="00B7560E">
        <w:rPr>
          <w:lang w:val="fr-CA"/>
        </w:rPr>
        <w:t xml:space="preserve"> </w:t>
      </w:r>
      <w:r w:rsidR="006165C9" w:rsidRPr="00B7560E">
        <w:rPr>
          <w:lang w:val="fr-CA"/>
        </w:rPr>
        <w:t>L</w:t>
      </w:r>
      <w:r w:rsidR="003D4D0B" w:rsidRPr="00B7560E">
        <w:rPr>
          <w:lang w:val="fr-CA"/>
        </w:rPr>
        <w:t xml:space="preserve">’État </w:t>
      </w:r>
      <w:r w:rsidR="000E155B" w:rsidRPr="00B7560E">
        <w:rPr>
          <w:lang w:val="fr-CA"/>
        </w:rPr>
        <w:t xml:space="preserve">est </w:t>
      </w:r>
      <w:r w:rsidR="006165C9" w:rsidRPr="00B7560E">
        <w:rPr>
          <w:lang w:val="fr-CA"/>
        </w:rPr>
        <w:t xml:space="preserve">ainsi </w:t>
      </w:r>
      <w:r w:rsidR="000E155B" w:rsidRPr="00B7560E">
        <w:rPr>
          <w:lang w:val="fr-CA"/>
        </w:rPr>
        <w:t>tenu de faire en sorte que toute personne blessée au cours d’une manifestation pacifique reçoive</w:t>
      </w:r>
      <w:r w:rsidR="003D4D0B" w:rsidRPr="00B7560E">
        <w:rPr>
          <w:lang w:val="fr-CA"/>
        </w:rPr>
        <w:t xml:space="preserve"> </w:t>
      </w:r>
      <w:r w:rsidR="00C15E6B" w:rsidRPr="00B7560E">
        <w:rPr>
          <w:lang w:val="fr-CA"/>
        </w:rPr>
        <w:t xml:space="preserve">promptement </w:t>
      </w:r>
      <w:r w:rsidR="000E155B" w:rsidRPr="00B7560E">
        <w:rPr>
          <w:lang w:val="fr-CA"/>
        </w:rPr>
        <w:t xml:space="preserve">des </w:t>
      </w:r>
      <w:r w:rsidR="009449BB" w:rsidRPr="00B7560E">
        <w:rPr>
          <w:lang w:val="fr-CA"/>
        </w:rPr>
        <w:t xml:space="preserve">soins médicaux </w:t>
      </w:r>
      <w:r w:rsidR="000E155B" w:rsidRPr="00B7560E">
        <w:rPr>
          <w:lang w:val="fr-CA"/>
        </w:rPr>
        <w:t>appropriés</w:t>
      </w:r>
      <w:r w:rsidR="009449BB" w:rsidRPr="00B7560E">
        <w:rPr>
          <w:lang w:val="fr-CA"/>
        </w:rPr>
        <w:t xml:space="preserve"> et que la personne et les </w:t>
      </w:r>
      <w:r w:rsidR="000E155B" w:rsidRPr="00B7560E">
        <w:rPr>
          <w:lang w:val="fr-CA"/>
        </w:rPr>
        <w:t>membres de sa famille</w:t>
      </w:r>
      <w:r w:rsidR="009449BB" w:rsidRPr="00B7560E">
        <w:rPr>
          <w:lang w:val="fr-CA"/>
        </w:rPr>
        <w:t xml:space="preserve"> soient protégés contre toute menace </w:t>
      </w:r>
      <w:r w:rsidR="003D4D0B" w:rsidRPr="00B7560E">
        <w:rPr>
          <w:lang w:val="fr-CA"/>
        </w:rPr>
        <w:t>de représailles.</w:t>
      </w:r>
    </w:p>
    <w:p w:rsidR="00C6160F" w:rsidRPr="00B7560E" w:rsidRDefault="00C6160F" w:rsidP="0090221D">
      <w:pPr>
        <w:pStyle w:val="ParNoG"/>
        <w:keepNext/>
        <w:keepLines/>
        <w:tabs>
          <w:tab w:val="clear" w:pos="1701"/>
        </w:tabs>
        <w:ind w:left="624"/>
        <w:rPr>
          <w:lang w:val="fr-CA"/>
        </w:rPr>
      </w:pPr>
      <w:r w:rsidRPr="00B7560E">
        <w:rPr>
          <w:lang w:val="fr-CA"/>
        </w:rPr>
        <w:t>Nul</w:t>
      </w:r>
      <w:r w:rsidR="001B2053" w:rsidRPr="00B7560E">
        <w:rPr>
          <w:lang w:val="fr-CA"/>
        </w:rPr>
        <w:t xml:space="preserve"> </w:t>
      </w:r>
      <w:r w:rsidRPr="00B7560E">
        <w:rPr>
          <w:lang w:val="fr-CA"/>
        </w:rPr>
        <w:t xml:space="preserve">ne </w:t>
      </w:r>
      <w:r w:rsidR="001B2053" w:rsidRPr="00B7560E">
        <w:rPr>
          <w:lang w:val="fr-CA"/>
        </w:rPr>
        <w:t xml:space="preserve">devrait faire </w:t>
      </w:r>
      <w:r w:rsidRPr="00B7560E">
        <w:rPr>
          <w:lang w:val="fr-CA"/>
        </w:rPr>
        <w:t xml:space="preserve">l’objet </w:t>
      </w:r>
      <w:r w:rsidR="00D14C67" w:rsidRPr="00B7560E">
        <w:rPr>
          <w:lang w:val="fr-CA"/>
        </w:rPr>
        <w:t xml:space="preserve">de sanctions pénales ni </w:t>
      </w:r>
      <w:r w:rsidRPr="00B7560E">
        <w:rPr>
          <w:lang w:val="fr-CA"/>
        </w:rPr>
        <w:t>de menaces</w:t>
      </w:r>
      <w:r w:rsidR="001B2053" w:rsidRPr="00B7560E">
        <w:rPr>
          <w:lang w:val="fr-CA"/>
        </w:rPr>
        <w:t xml:space="preserve">, </w:t>
      </w:r>
      <w:r w:rsidRPr="00B7560E">
        <w:rPr>
          <w:lang w:val="fr-CA"/>
        </w:rPr>
        <w:t>violences,</w:t>
      </w:r>
      <w:r w:rsidR="001B2053" w:rsidRPr="00B7560E">
        <w:rPr>
          <w:lang w:val="fr-CA"/>
        </w:rPr>
        <w:t xml:space="preserve"> </w:t>
      </w:r>
      <w:r w:rsidRPr="00B7560E">
        <w:rPr>
          <w:lang w:val="fr-CA"/>
        </w:rPr>
        <w:t>harcèlement</w:t>
      </w:r>
      <w:r w:rsidR="001B2053" w:rsidRPr="00B7560E">
        <w:rPr>
          <w:lang w:val="fr-CA"/>
        </w:rPr>
        <w:t>s</w:t>
      </w:r>
      <w:r w:rsidRPr="00B7560E">
        <w:rPr>
          <w:lang w:val="fr-CA"/>
        </w:rPr>
        <w:t>,</w:t>
      </w:r>
      <w:r w:rsidR="001B2053" w:rsidRPr="00B7560E">
        <w:rPr>
          <w:lang w:val="fr-CA"/>
        </w:rPr>
        <w:t xml:space="preserve"> </w:t>
      </w:r>
      <w:r w:rsidRPr="00B7560E">
        <w:rPr>
          <w:lang w:val="fr-CA"/>
        </w:rPr>
        <w:t>persécutions,</w:t>
      </w:r>
      <w:r w:rsidR="001B2053" w:rsidRPr="00B7560E">
        <w:rPr>
          <w:lang w:val="fr-CA"/>
        </w:rPr>
        <w:t xml:space="preserve"> </w:t>
      </w:r>
      <w:r w:rsidRPr="00B7560E">
        <w:rPr>
          <w:lang w:val="fr-CA"/>
        </w:rPr>
        <w:t>intimidation</w:t>
      </w:r>
      <w:r w:rsidR="001B2053" w:rsidRPr="00B7560E">
        <w:rPr>
          <w:lang w:val="fr-CA"/>
        </w:rPr>
        <w:t>s</w:t>
      </w:r>
      <w:r w:rsidRPr="00B7560E">
        <w:rPr>
          <w:lang w:val="fr-CA"/>
        </w:rPr>
        <w:t xml:space="preserve"> ou représailles</w:t>
      </w:r>
      <w:r w:rsidR="00D14C67" w:rsidRPr="00B7560E">
        <w:rPr>
          <w:lang w:val="fr-CA"/>
        </w:rPr>
        <w:t xml:space="preserve"> pour avoir </w:t>
      </w:r>
      <w:r w:rsidR="009449BB" w:rsidRPr="00B7560E">
        <w:rPr>
          <w:lang w:val="fr-CA"/>
        </w:rPr>
        <w:t xml:space="preserve">abordé des </w:t>
      </w:r>
      <w:r w:rsidR="00D14C67" w:rsidRPr="00B7560E">
        <w:rPr>
          <w:lang w:val="fr-CA"/>
        </w:rPr>
        <w:t xml:space="preserve">questions ou signalé des violations </w:t>
      </w:r>
      <w:r w:rsidR="009449BB" w:rsidRPr="00B7560E">
        <w:rPr>
          <w:lang w:val="fr-CA"/>
        </w:rPr>
        <w:t xml:space="preserve">et atteintes </w:t>
      </w:r>
      <w:r w:rsidR="00451C41" w:rsidRPr="00B7560E">
        <w:rPr>
          <w:lang w:val="fr-CA"/>
        </w:rPr>
        <w:t>concernant les</w:t>
      </w:r>
      <w:r w:rsidR="00C15E6B" w:rsidRPr="00B7560E">
        <w:rPr>
          <w:lang w:val="fr-CA"/>
        </w:rPr>
        <w:t xml:space="preserve"> droits de l’homme </w:t>
      </w:r>
      <w:r w:rsidR="00451C41" w:rsidRPr="00B7560E">
        <w:rPr>
          <w:lang w:val="fr-CA"/>
        </w:rPr>
        <w:t xml:space="preserve">dans le cadre de </w:t>
      </w:r>
      <w:r w:rsidR="009449BB" w:rsidRPr="00B7560E">
        <w:rPr>
          <w:lang w:val="fr-CA"/>
        </w:rPr>
        <w:t>manifestations pacifiques. La protection de la femme, en particulier celle des défenseuses des droits humains, doit être garantie. Les actes de violence sexiste commis durant une manifestation devraient faire l’objet d’enquêtes</w:t>
      </w:r>
      <w:r w:rsidR="006165C9" w:rsidRPr="00B7560E">
        <w:rPr>
          <w:lang w:val="fr-CA"/>
        </w:rPr>
        <w:t>,</w:t>
      </w:r>
      <w:r w:rsidR="009449BB" w:rsidRPr="00B7560E">
        <w:rPr>
          <w:lang w:val="fr-CA"/>
        </w:rPr>
        <w:t xml:space="preserve"> et </w:t>
      </w:r>
      <w:r w:rsidR="006165C9" w:rsidRPr="00B7560E">
        <w:rPr>
          <w:lang w:val="fr-CA"/>
        </w:rPr>
        <w:t>leurs auteurs</w:t>
      </w:r>
      <w:r w:rsidR="009449BB" w:rsidRPr="00B7560E">
        <w:rPr>
          <w:lang w:val="fr-CA"/>
        </w:rPr>
        <w:t xml:space="preserve"> poursui</w:t>
      </w:r>
      <w:r w:rsidR="006165C9" w:rsidRPr="00B7560E">
        <w:rPr>
          <w:lang w:val="fr-CA"/>
        </w:rPr>
        <w:t>vis, à titre prioritaire</w:t>
      </w:r>
      <w:r w:rsidR="009449BB" w:rsidRPr="00B7560E">
        <w:rPr>
          <w:lang w:val="fr-CA"/>
        </w:rPr>
        <w:t>.</w:t>
      </w:r>
    </w:p>
    <w:p w:rsidR="00D37AAF" w:rsidRPr="00B7560E" w:rsidRDefault="00393F60" w:rsidP="00ED2A7C">
      <w:pPr>
        <w:pStyle w:val="ParNoG"/>
        <w:tabs>
          <w:tab w:val="clear" w:pos="1701"/>
        </w:tabs>
        <w:ind w:left="624"/>
        <w:rPr>
          <w:lang w:val="fr-CA"/>
        </w:rPr>
      </w:pPr>
      <w:r w:rsidRPr="00B7560E">
        <w:rPr>
          <w:lang w:val="fr-CA"/>
        </w:rPr>
        <w:t xml:space="preserve">Les États doivent également veiller à ce que tous ceux qui surveillent les violations des droits de l’homme ou atteintes à ces derniers perpétrées au cours des manifestations pacifiques et en rendent compte, y compris les journalistes, </w:t>
      </w:r>
      <w:r w:rsidR="000960E4" w:rsidRPr="00B7560E">
        <w:rPr>
          <w:lang w:val="fr-CA"/>
        </w:rPr>
        <w:t xml:space="preserve">représentants des </w:t>
      </w:r>
      <w:r w:rsidRPr="00B7560E">
        <w:rPr>
          <w:lang w:val="fr-CA"/>
        </w:rPr>
        <w:t>médias communautaires, autres professionnels des m</w:t>
      </w:r>
      <w:r w:rsidR="000960E4" w:rsidRPr="00B7560E">
        <w:rPr>
          <w:lang w:val="fr-CA"/>
        </w:rPr>
        <w:t>édias et blogu</w:t>
      </w:r>
      <w:r w:rsidRPr="00B7560E">
        <w:rPr>
          <w:lang w:val="fr-CA"/>
        </w:rPr>
        <w:t xml:space="preserve">eurs, puissent le faire sans crainte d’intimidation, de harcèlement juridique et physique et </w:t>
      </w:r>
      <w:r w:rsidR="000960E4" w:rsidRPr="00B7560E">
        <w:rPr>
          <w:lang w:val="fr-CA"/>
        </w:rPr>
        <w:t xml:space="preserve">de </w:t>
      </w:r>
      <w:r w:rsidRPr="00B7560E">
        <w:rPr>
          <w:lang w:val="fr-CA"/>
        </w:rPr>
        <w:t xml:space="preserve">violence. </w:t>
      </w:r>
      <w:r w:rsidR="000960E4" w:rsidRPr="00B7560E">
        <w:rPr>
          <w:lang w:val="fr-CA"/>
        </w:rPr>
        <w:t>L’État se doit, à cet égard, de les protéger.</w:t>
      </w:r>
    </w:p>
    <w:p w:rsidR="000960E4" w:rsidRPr="00B7560E" w:rsidRDefault="000960E4" w:rsidP="00ED2A7C">
      <w:pPr>
        <w:pStyle w:val="ParNoG"/>
        <w:tabs>
          <w:tab w:val="clear" w:pos="1701"/>
        </w:tabs>
        <w:ind w:left="624"/>
        <w:rPr>
          <w:lang w:val="fr-CA"/>
        </w:rPr>
      </w:pPr>
      <w:r w:rsidRPr="00B7560E">
        <w:rPr>
          <w:lang w:val="fr-CA"/>
        </w:rPr>
        <w:t xml:space="preserve">De même, les États ont l’obligation de veiller à ce que les </w:t>
      </w:r>
      <w:r w:rsidR="00E815C7" w:rsidRPr="00B7560E">
        <w:rPr>
          <w:lang w:val="fr-CA"/>
        </w:rPr>
        <w:t xml:space="preserve">représentants de la loi </w:t>
      </w:r>
      <w:r w:rsidR="000B3A77" w:rsidRPr="00B7560E">
        <w:rPr>
          <w:lang w:val="fr-CA"/>
        </w:rPr>
        <w:t>reçoivent une formation suffisante, en particulier dans les domaines du</w:t>
      </w:r>
      <w:r w:rsidR="00E815C7" w:rsidRPr="00B7560E">
        <w:rPr>
          <w:lang w:val="fr-CA"/>
        </w:rPr>
        <w:t xml:space="preserve"> </w:t>
      </w:r>
      <w:r w:rsidR="000B3A77" w:rsidRPr="00B7560E">
        <w:rPr>
          <w:lang w:val="fr-CA"/>
        </w:rPr>
        <w:t xml:space="preserve">maintien de l’ordre et de l’usage de la force, </w:t>
      </w:r>
      <w:r w:rsidR="00E815C7" w:rsidRPr="00B7560E">
        <w:rPr>
          <w:lang w:val="fr-CA"/>
        </w:rPr>
        <w:t xml:space="preserve">et </w:t>
      </w:r>
      <w:r w:rsidR="000B3A77" w:rsidRPr="00B7560E">
        <w:rPr>
          <w:lang w:val="fr-CA"/>
        </w:rPr>
        <w:t>disposent d’</w:t>
      </w:r>
      <w:r w:rsidR="00E815C7" w:rsidRPr="00B7560E">
        <w:rPr>
          <w:lang w:val="fr-CA"/>
        </w:rPr>
        <w:t>équip</w:t>
      </w:r>
      <w:r w:rsidR="000B3A77" w:rsidRPr="00B7560E">
        <w:rPr>
          <w:lang w:val="fr-CA"/>
        </w:rPr>
        <w:t>ement appropriés</w:t>
      </w:r>
      <w:r w:rsidR="00E815C7" w:rsidRPr="00B7560E">
        <w:rPr>
          <w:lang w:val="fr-CA"/>
        </w:rPr>
        <w:t>.</w:t>
      </w:r>
      <w:r w:rsidR="000B3A77" w:rsidRPr="00B7560E">
        <w:rPr>
          <w:lang w:val="fr-CA"/>
        </w:rPr>
        <w:t xml:space="preserve"> </w:t>
      </w:r>
      <w:r w:rsidR="006165C9" w:rsidRPr="00B7560E">
        <w:rPr>
          <w:lang w:val="fr-CA"/>
        </w:rPr>
        <w:t>Sur ce point</w:t>
      </w:r>
      <w:r w:rsidR="000B3A77" w:rsidRPr="00B7560E">
        <w:rPr>
          <w:lang w:val="fr-CA"/>
        </w:rPr>
        <w:t xml:space="preserve">, il convient de se reporter aux travaux très détaillés réalisés par </w:t>
      </w:r>
      <w:r w:rsidR="00DA7B1C" w:rsidRPr="00B7560E">
        <w:rPr>
          <w:lang w:val="fr-CA"/>
        </w:rPr>
        <w:t xml:space="preserve">le Bureau des institutions démocratiques et des droits de l’homme de l’Organisation pour la sécurité et la coopération en Europe et son </w:t>
      </w:r>
      <w:r w:rsidR="00744801" w:rsidRPr="00B7560E">
        <w:rPr>
          <w:lang w:val="fr-CA"/>
        </w:rPr>
        <w:t>Panel d’experts sur la liberté de réunion pacifique.</w:t>
      </w:r>
    </w:p>
    <w:p w:rsidR="00744801" w:rsidRPr="00B7560E" w:rsidRDefault="00E51B5A" w:rsidP="004711C3">
      <w:pPr>
        <w:pStyle w:val="ParNoG"/>
        <w:keepNext/>
        <w:keepLines/>
        <w:tabs>
          <w:tab w:val="clear" w:pos="1701"/>
        </w:tabs>
        <w:ind w:left="624"/>
        <w:rPr>
          <w:lang w:val="fr-CA"/>
        </w:rPr>
      </w:pPr>
      <w:r w:rsidRPr="00B7560E">
        <w:rPr>
          <w:lang w:val="fr-CA"/>
        </w:rPr>
        <w:t>D’autre part, il convient de promouvoir et de renforcer l</w:t>
      </w:r>
      <w:r w:rsidR="00744801" w:rsidRPr="00B7560E">
        <w:rPr>
          <w:lang w:val="fr-CA"/>
        </w:rPr>
        <w:t>es coalitions de défenseurs des droits de l’</w:t>
      </w:r>
      <w:r w:rsidR="00594015" w:rsidRPr="00B7560E">
        <w:rPr>
          <w:lang w:val="fr-CA"/>
        </w:rPr>
        <w:t xml:space="preserve">homme, les </w:t>
      </w:r>
      <w:r w:rsidR="00744801" w:rsidRPr="00B7560E">
        <w:rPr>
          <w:lang w:val="fr-CA"/>
        </w:rPr>
        <w:t>réseaux nationaux, régionaux et internationaux de communication et d’information</w:t>
      </w:r>
      <w:r w:rsidR="00594015" w:rsidRPr="00B7560E">
        <w:rPr>
          <w:lang w:val="fr-CA"/>
        </w:rPr>
        <w:t>, les groupes de suivi et les groupes de soutien susceptibles d</w:t>
      </w:r>
      <w:r w:rsidR="0026040F" w:rsidRPr="00B7560E">
        <w:rPr>
          <w:lang w:val="fr-CA"/>
        </w:rPr>
        <w:t>’offr</w:t>
      </w:r>
      <w:r w:rsidR="00594015" w:rsidRPr="00B7560E">
        <w:rPr>
          <w:lang w:val="fr-CA"/>
        </w:rPr>
        <w:t>ir un refuge</w:t>
      </w:r>
      <w:r w:rsidR="0026040F" w:rsidRPr="00B7560E">
        <w:rPr>
          <w:lang w:val="fr-CA"/>
        </w:rPr>
        <w:t xml:space="preserve"> et de fournir</w:t>
      </w:r>
      <w:r w:rsidR="00594015" w:rsidRPr="00B7560E">
        <w:rPr>
          <w:lang w:val="fr-CA"/>
        </w:rPr>
        <w:t xml:space="preserve"> une protection à ceux qui participent aux manifestations pacifiques </w:t>
      </w:r>
      <w:r w:rsidR="0026040F" w:rsidRPr="00B7560E">
        <w:rPr>
          <w:lang w:val="fr-CA"/>
        </w:rPr>
        <w:t xml:space="preserve">et </w:t>
      </w:r>
      <w:r w:rsidR="00594015" w:rsidRPr="00B7560E">
        <w:rPr>
          <w:lang w:val="fr-CA"/>
        </w:rPr>
        <w:t>à ceux qui en assurent l</w:t>
      </w:r>
      <w:r w:rsidR="0026040F" w:rsidRPr="00B7560E">
        <w:rPr>
          <w:lang w:val="fr-CA"/>
        </w:rPr>
        <w:t>a surveillance</w:t>
      </w:r>
      <w:r w:rsidR="00594015" w:rsidRPr="00B7560E">
        <w:rPr>
          <w:lang w:val="fr-CA"/>
        </w:rPr>
        <w:t>.</w:t>
      </w:r>
    </w:p>
    <w:p w:rsidR="0026040F" w:rsidRPr="00B7560E" w:rsidRDefault="00D20A92" w:rsidP="00ED2A7C">
      <w:pPr>
        <w:pStyle w:val="ParNoG"/>
        <w:tabs>
          <w:tab w:val="clear" w:pos="1701"/>
        </w:tabs>
        <w:ind w:left="624"/>
        <w:rPr>
          <w:lang w:val="fr-CA"/>
        </w:rPr>
      </w:pPr>
      <w:r w:rsidRPr="00B7560E">
        <w:rPr>
          <w:lang w:val="fr-CA"/>
        </w:rPr>
        <w:t>Des enquêtes impartiales et indépendantes devraient être menées sans tarder sur t</w:t>
      </w:r>
      <w:r w:rsidR="0026040F" w:rsidRPr="00B7560E">
        <w:rPr>
          <w:lang w:val="fr-CA"/>
        </w:rPr>
        <w:t xml:space="preserve">ous les </w:t>
      </w:r>
      <w:r w:rsidR="000C7498" w:rsidRPr="00B7560E">
        <w:rPr>
          <w:lang w:val="fr-CA"/>
        </w:rPr>
        <w:t>cas signalés d</w:t>
      </w:r>
      <w:r w:rsidR="0026040F" w:rsidRPr="00B7560E">
        <w:rPr>
          <w:lang w:val="fr-CA"/>
        </w:rPr>
        <w:t xml:space="preserve">’emploi excessif de la force </w:t>
      </w:r>
      <w:r w:rsidR="000C7498" w:rsidRPr="00B7560E">
        <w:rPr>
          <w:lang w:val="fr-CA"/>
        </w:rPr>
        <w:t xml:space="preserve">ou d’autres violations des droits de l’homme </w:t>
      </w:r>
      <w:r w:rsidR="0026040F" w:rsidRPr="00B7560E">
        <w:rPr>
          <w:lang w:val="fr-CA"/>
        </w:rPr>
        <w:t xml:space="preserve">lors de </w:t>
      </w:r>
      <w:r w:rsidR="000C7498" w:rsidRPr="00B7560E">
        <w:rPr>
          <w:lang w:val="fr-CA"/>
        </w:rPr>
        <w:t xml:space="preserve">manifestations pacifiques </w:t>
      </w:r>
      <w:r w:rsidRPr="00B7560E">
        <w:rPr>
          <w:lang w:val="fr-CA"/>
        </w:rPr>
        <w:t>et les</w:t>
      </w:r>
      <w:r w:rsidR="00417918" w:rsidRPr="00B7560E">
        <w:rPr>
          <w:lang w:val="fr-CA"/>
        </w:rPr>
        <w:t xml:space="preserve"> auteurs </w:t>
      </w:r>
      <w:r w:rsidRPr="00B7560E">
        <w:rPr>
          <w:lang w:val="fr-CA"/>
        </w:rPr>
        <w:t xml:space="preserve">de ces infractions poursuivis </w:t>
      </w:r>
      <w:r w:rsidR="00417918" w:rsidRPr="00B7560E">
        <w:rPr>
          <w:lang w:val="fr-CA"/>
        </w:rPr>
        <w:t>en justice</w:t>
      </w:r>
      <w:r w:rsidR="0026040F" w:rsidRPr="00B7560E">
        <w:rPr>
          <w:lang w:val="fr-CA"/>
        </w:rPr>
        <w:t>.</w:t>
      </w:r>
      <w:r w:rsidR="003D6A39" w:rsidRPr="00B7560E">
        <w:rPr>
          <w:lang w:val="fr-CA"/>
        </w:rPr>
        <w:t xml:space="preserve"> Cela </w:t>
      </w:r>
      <w:r w:rsidR="00DB2697" w:rsidRPr="00B7560E">
        <w:rPr>
          <w:lang w:val="fr-CA"/>
        </w:rPr>
        <w:t>implique</w:t>
      </w:r>
      <w:r w:rsidR="003D6A39" w:rsidRPr="00B7560E">
        <w:rPr>
          <w:lang w:val="fr-CA"/>
        </w:rPr>
        <w:t xml:space="preserve"> </w:t>
      </w:r>
      <w:r w:rsidR="001807E1" w:rsidRPr="00B7560E">
        <w:rPr>
          <w:lang w:val="fr-CA"/>
        </w:rPr>
        <w:t>de veiller</w:t>
      </w:r>
      <w:r w:rsidR="00DB2697" w:rsidRPr="00B7560E">
        <w:rPr>
          <w:lang w:val="fr-CA"/>
        </w:rPr>
        <w:t xml:space="preserve"> non seulement </w:t>
      </w:r>
      <w:r w:rsidR="001807E1" w:rsidRPr="00B7560E">
        <w:rPr>
          <w:lang w:val="fr-CA"/>
        </w:rPr>
        <w:t xml:space="preserve">à ce </w:t>
      </w:r>
      <w:r w:rsidR="00EA7947" w:rsidRPr="00B7560E">
        <w:rPr>
          <w:lang w:val="fr-CA"/>
        </w:rPr>
        <w:t xml:space="preserve">qu’il </w:t>
      </w:r>
      <w:r w:rsidR="001807E1" w:rsidRPr="00B7560E">
        <w:rPr>
          <w:lang w:val="fr-CA"/>
        </w:rPr>
        <w:t>soit</w:t>
      </w:r>
      <w:r w:rsidR="00EA7947" w:rsidRPr="00B7560E">
        <w:rPr>
          <w:lang w:val="fr-CA"/>
        </w:rPr>
        <w:t xml:space="preserve"> remédié à la violation considérée </w:t>
      </w:r>
      <w:r w:rsidR="003D6A39" w:rsidRPr="00B7560E">
        <w:rPr>
          <w:lang w:val="fr-CA"/>
        </w:rPr>
        <w:t xml:space="preserve">mais aussi </w:t>
      </w:r>
      <w:r w:rsidR="001807E1" w:rsidRPr="00B7560E">
        <w:rPr>
          <w:lang w:val="fr-CA"/>
        </w:rPr>
        <w:t xml:space="preserve">à ce </w:t>
      </w:r>
      <w:r w:rsidR="00DB2697" w:rsidRPr="00B7560E">
        <w:rPr>
          <w:lang w:val="fr-CA"/>
        </w:rPr>
        <w:t>qu</w:t>
      </w:r>
      <w:r w:rsidR="00EA7947" w:rsidRPr="00B7560E">
        <w:rPr>
          <w:lang w:val="fr-CA"/>
        </w:rPr>
        <w:t xml:space="preserve">e celle-ci </w:t>
      </w:r>
      <w:r w:rsidR="003D6A39" w:rsidRPr="00B7560E">
        <w:rPr>
          <w:lang w:val="fr-CA"/>
        </w:rPr>
        <w:t>ne se reprodui</w:t>
      </w:r>
      <w:r w:rsidR="001807E1" w:rsidRPr="00B7560E">
        <w:rPr>
          <w:lang w:val="fr-CA"/>
        </w:rPr>
        <w:t>se</w:t>
      </w:r>
      <w:r w:rsidR="003D6A39" w:rsidRPr="00B7560E">
        <w:rPr>
          <w:lang w:val="fr-CA"/>
        </w:rPr>
        <w:t xml:space="preserve"> p</w:t>
      </w:r>
      <w:r w:rsidR="00DB2697" w:rsidRPr="00B7560E">
        <w:rPr>
          <w:lang w:val="fr-CA"/>
        </w:rPr>
        <w:t>a</w:t>
      </w:r>
      <w:r w:rsidR="003D6A39" w:rsidRPr="00B7560E">
        <w:rPr>
          <w:lang w:val="fr-CA"/>
        </w:rPr>
        <w:t>s</w:t>
      </w:r>
      <w:r w:rsidR="00DB2697" w:rsidRPr="00B7560E">
        <w:rPr>
          <w:lang w:val="fr-CA"/>
        </w:rPr>
        <w:t xml:space="preserve"> à l’avenir</w:t>
      </w:r>
      <w:r w:rsidR="003D6A39" w:rsidRPr="00B7560E">
        <w:rPr>
          <w:lang w:val="fr-CA"/>
        </w:rPr>
        <w:t>.</w:t>
      </w:r>
      <w:r w:rsidR="0066596D" w:rsidRPr="00B7560E">
        <w:rPr>
          <w:lang w:val="fr-CA"/>
        </w:rPr>
        <w:t xml:space="preserve"> </w:t>
      </w:r>
      <w:r w:rsidR="00C22C9B" w:rsidRPr="00B7560E">
        <w:rPr>
          <w:lang w:val="fr-CA"/>
        </w:rPr>
        <w:t>Là</w:t>
      </w:r>
      <w:r w:rsidR="0066596D" w:rsidRPr="00B7560E">
        <w:rPr>
          <w:lang w:val="fr-CA"/>
        </w:rPr>
        <w:t xml:space="preserve"> où les droits humains </w:t>
      </w:r>
      <w:r w:rsidR="00C22C9B" w:rsidRPr="00B7560E">
        <w:rPr>
          <w:lang w:val="fr-CA"/>
        </w:rPr>
        <w:t>liés aux</w:t>
      </w:r>
      <w:r w:rsidR="0066596D" w:rsidRPr="00B7560E">
        <w:rPr>
          <w:lang w:val="fr-CA"/>
        </w:rPr>
        <w:t xml:space="preserve"> manifestations pacifiques sont indûment restreints, les victimes devraient avoir le droit d’obtenir réparation et une indemnisation équitable et suffisante</w:t>
      </w:r>
      <w:r w:rsidR="00C22C9B" w:rsidRPr="00B7560E">
        <w:rPr>
          <w:lang w:val="fr-CA"/>
        </w:rPr>
        <w:t>. Une attention particulière doit, à cet égard, être accordée aux victimes appartenant aux groupes les plus vulnérables.</w:t>
      </w:r>
    </w:p>
    <w:p w:rsidR="00C22C9B" w:rsidRPr="00B7560E" w:rsidRDefault="00C22C9B" w:rsidP="00ED2A7C">
      <w:pPr>
        <w:pStyle w:val="ParNoG"/>
        <w:tabs>
          <w:tab w:val="clear" w:pos="1701"/>
        </w:tabs>
        <w:ind w:left="624"/>
        <w:rPr>
          <w:lang w:val="fr-CA"/>
        </w:rPr>
      </w:pPr>
      <w:r w:rsidRPr="00B7560E">
        <w:rPr>
          <w:lang w:val="fr-CA"/>
        </w:rPr>
        <w:t>Dans sa contribution au présent rapport, le Rapporteur spécial sur les exécutions extrajudiciaires, sommaires ou arbitraires a fait référence au paragraphe 1 de l’article 6 du Pacte international relatif aux droits civils et politiques concernant le droit à la vie, rappelant que dans son observation générale n</w:t>
      </w:r>
      <w:r w:rsidRPr="00B7560E">
        <w:rPr>
          <w:vertAlign w:val="superscript"/>
          <w:lang w:val="fr-CA"/>
        </w:rPr>
        <w:t>o</w:t>
      </w:r>
      <w:r w:rsidRPr="00B7560E">
        <w:rPr>
          <w:lang w:val="fr-CA"/>
        </w:rPr>
        <w:t xml:space="preserve"> 6 (1982) à ce sujet, le Conseil des droits de l’homme </w:t>
      </w:r>
      <w:r w:rsidR="000368AF" w:rsidRPr="00B7560E">
        <w:rPr>
          <w:lang w:val="fr-CA"/>
        </w:rPr>
        <w:t>estime que les États parties devraient prendre des mesures pour, entre autres, « empêcher que leurs propres forces de sécurité ne tuent des individus de façon arbitraire ». De l’avis du Conseil, la privation de la vie par les autorités de l’État est une question extrêmement grave et la législation doit donc réglementer et limiter strictement les c</w:t>
      </w:r>
      <w:r w:rsidR="004D3DD3">
        <w:rPr>
          <w:lang w:val="fr-CA"/>
        </w:rPr>
        <w:t>irconstance</w:t>
      </w:r>
      <w:r w:rsidR="000368AF" w:rsidRPr="00B7560E">
        <w:rPr>
          <w:lang w:val="fr-CA"/>
        </w:rPr>
        <w:t>s dans lesquel</w:t>
      </w:r>
      <w:r w:rsidR="004D3DD3">
        <w:rPr>
          <w:lang w:val="fr-CA"/>
        </w:rPr>
        <w:t>le</w:t>
      </w:r>
      <w:r w:rsidR="000368AF" w:rsidRPr="00B7560E">
        <w:rPr>
          <w:lang w:val="fr-CA"/>
        </w:rPr>
        <w:t xml:space="preserve">s une personne peut être privée de la vie par ces autorités. </w:t>
      </w:r>
      <w:r w:rsidR="00FF2F09" w:rsidRPr="00B7560E">
        <w:rPr>
          <w:lang w:val="fr-CA"/>
        </w:rPr>
        <w:t>L</w:t>
      </w:r>
      <w:r w:rsidR="000368AF" w:rsidRPr="00B7560E">
        <w:rPr>
          <w:lang w:val="fr-CA"/>
        </w:rPr>
        <w:t xml:space="preserve">e Rapporteur spécial </w:t>
      </w:r>
      <w:r w:rsidR="00FF2F09" w:rsidRPr="00B7560E">
        <w:rPr>
          <w:lang w:val="fr-CA"/>
        </w:rPr>
        <w:t xml:space="preserve">a également </w:t>
      </w:r>
      <w:r w:rsidR="003B6ADC" w:rsidRPr="00B7560E">
        <w:rPr>
          <w:lang w:val="fr-CA"/>
        </w:rPr>
        <w:t>fait référence aux</w:t>
      </w:r>
      <w:r w:rsidR="00FF2F09" w:rsidRPr="00B7560E">
        <w:rPr>
          <w:lang w:val="fr-CA"/>
        </w:rPr>
        <w:t xml:space="preserve"> Principes de base sur le recours à la force et l’utilisation des armes à feu par les responsables de l’application des lois</w:t>
      </w:r>
      <w:r w:rsidR="003B6ADC" w:rsidRPr="00B7560E">
        <w:rPr>
          <w:rStyle w:val="Appelnotedebasdep"/>
          <w:lang w:val="fr-CA"/>
        </w:rPr>
        <w:footnoteReference w:id="11"/>
      </w:r>
      <w:r w:rsidR="003B6ADC" w:rsidRPr="00B7560E">
        <w:rPr>
          <w:lang w:val="fr-CA"/>
        </w:rPr>
        <w:t>, en particulier les principes 9, 12, 13 et 14, et au Code de conduite pour les responsables de l’application des lois</w:t>
      </w:r>
      <w:r w:rsidR="003B6ADC" w:rsidRPr="00B7560E">
        <w:rPr>
          <w:rStyle w:val="Appelnotedebasdep"/>
          <w:lang w:val="fr-CA"/>
        </w:rPr>
        <w:footnoteReference w:id="12"/>
      </w:r>
      <w:r w:rsidR="003B6ADC" w:rsidRPr="00B7560E">
        <w:rPr>
          <w:lang w:val="fr-CA"/>
        </w:rPr>
        <w:t xml:space="preserve">, qui fournissent une interprétation </w:t>
      </w:r>
      <w:r w:rsidR="000B131A" w:rsidRPr="00B7560E">
        <w:rPr>
          <w:lang w:val="fr-CA"/>
        </w:rPr>
        <w:t>du cadre délimitant la conduite</w:t>
      </w:r>
      <w:r w:rsidR="003B6ADC" w:rsidRPr="00B7560E">
        <w:rPr>
          <w:lang w:val="fr-CA"/>
        </w:rPr>
        <w:t xml:space="preserve"> des représentants de la loi.</w:t>
      </w:r>
    </w:p>
    <w:p w:rsidR="00941172" w:rsidRPr="00B7560E" w:rsidRDefault="00D7557D" w:rsidP="00ED2A7C">
      <w:pPr>
        <w:pStyle w:val="ParNoG"/>
        <w:tabs>
          <w:tab w:val="clear" w:pos="1701"/>
        </w:tabs>
        <w:ind w:left="624"/>
        <w:rPr>
          <w:lang w:val="fr-CA"/>
        </w:rPr>
      </w:pPr>
      <w:r w:rsidRPr="00B7560E">
        <w:rPr>
          <w:lang w:val="fr-CA"/>
        </w:rPr>
        <w:t xml:space="preserve">Le Rapporteur spécial a en outre cité son rapport à la dix-septième session du Conseil des droits de l’homme, </w:t>
      </w:r>
      <w:r w:rsidR="00F10927" w:rsidRPr="00B7560E">
        <w:rPr>
          <w:lang w:val="fr-CA"/>
        </w:rPr>
        <w:t>dans lequel il concluait</w:t>
      </w:r>
      <w:r w:rsidR="00D23005">
        <w:rPr>
          <w:lang w:val="fr-CA"/>
        </w:rPr>
        <w:t>, à partir d’une étude portant sur 76 pays,</w:t>
      </w:r>
      <w:r w:rsidR="00F10927" w:rsidRPr="00B7560E">
        <w:rPr>
          <w:lang w:val="fr-CA"/>
        </w:rPr>
        <w:t xml:space="preserve"> que </w:t>
      </w:r>
      <w:r w:rsidR="00D23005">
        <w:rPr>
          <w:lang w:val="fr-CA"/>
        </w:rPr>
        <w:t xml:space="preserve">de nombreux </w:t>
      </w:r>
      <w:r w:rsidR="00F10927" w:rsidRPr="00B7560E">
        <w:rPr>
          <w:lang w:val="fr-CA"/>
        </w:rPr>
        <w:t>systèmes juridiques nationaux ne sont pas conformes aux normes internationales en matière d'u</w:t>
      </w:r>
      <w:r w:rsidR="004D3DD3">
        <w:rPr>
          <w:lang w:val="fr-CA"/>
        </w:rPr>
        <w:t>sage</w:t>
      </w:r>
      <w:r w:rsidR="00F10927" w:rsidRPr="00B7560E">
        <w:rPr>
          <w:lang w:val="fr-CA"/>
        </w:rPr>
        <w:t xml:space="preserve"> de la force au cours de manifestations (A/HRC/17/28, résumé). Il a fait ressortir plusieurs facteurs interconnectés qui déterminent</w:t>
      </w:r>
      <w:r w:rsidR="00C6508E" w:rsidRPr="00B7560E">
        <w:rPr>
          <w:lang w:val="fr-CA"/>
        </w:rPr>
        <w:t xml:space="preserve"> la réaction de l’État face aux manifestations et </w:t>
      </w:r>
      <w:r w:rsidR="001807E1" w:rsidRPr="00B7560E">
        <w:rPr>
          <w:lang w:val="fr-CA"/>
        </w:rPr>
        <w:t>ce qui s’en ensuit</w:t>
      </w:r>
      <w:r w:rsidR="00724C5D" w:rsidRPr="00B7560E">
        <w:rPr>
          <w:lang w:val="fr-CA"/>
        </w:rPr>
        <w:t xml:space="preserve">. La reconnaissance </w:t>
      </w:r>
      <w:r w:rsidR="00565A05" w:rsidRPr="00B7560E">
        <w:rPr>
          <w:lang w:val="fr-CA"/>
        </w:rPr>
        <w:t xml:space="preserve">du droit de réunion pacifique </w:t>
      </w:r>
      <w:r w:rsidR="00724C5D" w:rsidRPr="00B7560E">
        <w:rPr>
          <w:lang w:val="fr-CA"/>
        </w:rPr>
        <w:t xml:space="preserve">par l’État, aussi bien au niveau politique que juridique, </w:t>
      </w:r>
      <w:r w:rsidR="00326A33" w:rsidRPr="00B7560E">
        <w:rPr>
          <w:lang w:val="fr-CA"/>
        </w:rPr>
        <w:t xml:space="preserve">est un élément crucial. Lorsque ce droit est supprimé, le risque de voir les manifestations dégénérer en confrontations violentes augmente. Réciproquement, le respect scrupuleux de ce droit par l’État permet de </w:t>
      </w:r>
      <w:r w:rsidR="00E14018" w:rsidRPr="00B7560E">
        <w:rPr>
          <w:lang w:val="fr-CA"/>
        </w:rPr>
        <w:t xml:space="preserve">désamorcer les tensions et d’éviter les </w:t>
      </w:r>
      <w:r w:rsidR="001807E1" w:rsidRPr="00B7560E">
        <w:rPr>
          <w:lang w:val="fr-CA"/>
        </w:rPr>
        <w:t xml:space="preserve">répercussions </w:t>
      </w:r>
      <w:r w:rsidR="00E14018" w:rsidRPr="00B7560E">
        <w:rPr>
          <w:lang w:val="fr-CA"/>
        </w:rPr>
        <w:t>négatives telles que les éventuelles pertes en vies humaines.</w:t>
      </w:r>
    </w:p>
    <w:p w:rsidR="00C6508E" w:rsidRPr="00B7560E" w:rsidRDefault="00CD1C48" w:rsidP="00ED2A7C">
      <w:pPr>
        <w:pStyle w:val="ParNoG"/>
        <w:tabs>
          <w:tab w:val="clear" w:pos="1701"/>
        </w:tabs>
        <w:ind w:left="624"/>
        <w:rPr>
          <w:lang w:val="fr-CA"/>
        </w:rPr>
      </w:pPr>
      <w:r>
        <w:rPr>
          <w:lang w:val="fr-CA"/>
        </w:rPr>
        <w:t>L</w:t>
      </w:r>
      <w:r w:rsidR="00E14018" w:rsidRPr="00B7560E">
        <w:rPr>
          <w:lang w:val="fr-CA"/>
        </w:rPr>
        <w:t xml:space="preserve">e rapport souligne </w:t>
      </w:r>
      <w:r w:rsidR="00396FF0" w:rsidRPr="00B7560E">
        <w:rPr>
          <w:lang w:val="fr-CA"/>
        </w:rPr>
        <w:t xml:space="preserve">par ailleurs </w:t>
      </w:r>
      <w:r w:rsidR="00E14018" w:rsidRPr="00B7560E">
        <w:rPr>
          <w:lang w:val="fr-CA"/>
        </w:rPr>
        <w:t xml:space="preserve">la nécessité d’une codification plus poussée du droit international en matière de manifestations, </w:t>
      </w:r>
      <w:r w:rsidR="00396FF0" w:rsidRPr="00B7560E">
        <w:rPr>
          <w:lang w:val="fr-CA"/>
        </w:rPr>
        <w:t xml:space="preserve">faisant valoir </w:t>
      </w:r>
      <w:r w:rsidR="00E14018" w:rsidRPr="00B7560E">
        <w:rPr>
          <w:lang w:val="fr-CA"/>
        </w:rPr>
        <w:t>que « l</w:t>
      </w:r>
      <w:r w:rsidR="00C6508E" w:rsidRPr="00B7560E">
        <w:rPr>
          <w:lang w:val="fr-CA"/>
        </w:rPr>
        <w:t>es principes fondamentaux de la gestion des manifestations devraient être plus clairs, afin de fixer les normes juridiques internationales applicables aux manifestations (non violentes et violentes; légales et illégales), avec une référence spéciale au recours, par la police, à la force (meurtrière) lors de manifestations</w:t>
      </w:r>
      <w:r w:rsidR="00E14018" w:rsidRPr="00B7560E">
        <w:rPr>
          <w:lang w:val="fr-CA"/>
        </w:rPr>
        <w:t>. […] C</w:t>
      </w:r>
      <w:r w:rsidR="00C6508E" w:rsidRPr="00B7560E">
        <w:rPr>
          <w:lang w:val="fr-CA"/>
        </w:rPr>
        <w:t>e processus est important, car il va apporter plus de clarté aux normes applicables et permettra une meilleure sensibilisation et une plus grande adhésion à un effort mondial de réforme des lois régissant les droits de réunion et de rassemblement</w:t>
      </w:r>
      <w:r w:rsidR="00E14018" w:rsidRPr="00B7560E">
        <w:rPr>
          <w:lang w:val="fr-CA"/>
        </w:rPr>
        <w:t> »</w:t>
      </w:r>
      <w:r w:rsidR="006F52AD" w:rsidRPr="00B7560E">
        <w:rPr>
          <w:lang w:val="fr-CA"/>
        </w:rPr>
        <w:t xml:space="preserve"> (A/HRC/17/28, paragraphe 143)</w:t>
      </w:r>
      <w:r w:rsidR="00E14018" w:rsidRPr="00B7560E">
        <w:rPr>
          <w:lang w:val="fr-CA"/>
        </w:rPr>
        <w:t>.</w:t>
      </w:r>
    </w:p>
    <w:p w:rsidR="00396FF0" w:rsidRPr="00B7560E" w:rsidRDefault="00396FF0" w:rsidP="00ED2A7C">
      <w:pPr>
        <w:pStyle w:val="ParNoG"/>
        <w:tabs>
          <w:tab w:val="clear" w:pos="1701"/>
        </w:tabs>
        <w:ind w:left="624"/>
        <w:rPr>
          <w:lang w:val="fr-CA"/>
        </w:rPr>
      </w:pPr>
      <w:r w:rsidRPr="00B7560E">
        <w:rPr>
          <w:lang w:val="fr-CA"/>
        </w:rPr>
        <w:t xml:space="preserve">Au-delà des cadres juridiques, la gestion des manifestations </w:t>
      </w:r>
      <w:r w:rsidR="008C6737" w:rsidRPr="00B7560E">
        <w:rPr>
          <w:lang w:val="fr-CA"/>
        </w:rPr>
        <w:t>demand</w:t>
      </w:r>
      <w:r w:rsidRPr="00B7560E">
        <w:rPr>
          <w:lang w:val="fr-CA"/>
        </w:rPr>
        <w:t xml:space="preserve">e également, dans la pratique, </w:t>
      </w:r>
      <w:r w:rsidR="00B62F0F" w:rsidRPr="00B7560E">
        <w:rPr>
          <w:lang w:val="fr-CA"/>
        </w:rPr>
        <w:t>la connaissance du comportement des foules</w:t>
      </w:r>
      <w:r w:rsidR="004D3DD3">
        <w:rPr>
          <w:lang w:val="fr-CA"/>
        </w:rPr>
        <w:t xml:space="preserve"> ainsi que</w:t>
      </w:r>
      <w:r w:rsidR="00B62F0F" w:rsidRPr="00B7560E">
        <w:rPr>
          <w:lang w:val="fr-CA"/>
        </w:rPr>
        <w:t xml:space="preserve"> des équipements </w:t>
      </w:r>
      <w:r w:rsidR="00697D45" w:rsidRPr="00B7560E">
        <w:rPr>
          <w:lang w:val="fr-CA"/>
        </w:rPr>
        <w:t>idoines</w:t>
      </w:r>
      <w:r w:rsidR="00B62F0F" w:rsidRPr="00B7560E">
        <w:rPr>
          <w:lang w:val="fr-CA"/>
        </w:rPr>
        <w:t xml:space="preserve">, notamment </w:t>
      </w:r>
      <w:r w:rsidR="00D63C7E" w:rsidRPr="00B7560E">
        <w:rPr>
          <w:lang w:val="fr-CA"/>
        </w:rPr>
        <w:t xml:space="preserve">diverses sortes </w:t>
      </w:r>
      <w:r w:rsidR="00B62F0F" w:rsidRPr="00B7560E">
        <w:rPr>
          <w:lang w:val="fr-CA"/>
        </w:rPr>
        <w:t xml:space="preserve">d’armes non létales, et </w:t>
      </w:r>
      <w:r w:rsidR="00697D45" w:rsidRPr="00B7560E">
        <w:rPr>
          <w:lang w:val="fr-CA"/>
        </w:rPr>
        <w:t xml:space="preserve">une formation adéquate des représentants de la loi, en particulier en matière de droits de l’homme. Celle-ci </w:t>
      </w:r>
      <w:r w:rsidR="00B7560E" w:rsidRPr="00B7560E">
        <w:rPr>
          <w:lang w:val="fr-CA"/>
        </w:rPr>
        <w:t>contribue</w:t>
      </w:r>
      <w:r w:rsidR="00DC06A8" w:rsidRPr="00B7560E">
        <w:rPr>
          <w:lang w:val="fr-CA"/>
        </w:rPr>
        <w:t xml:space="preserve"> </w:t>
      </w:r>
      <w:r w:rsidR="00B7560E" w:rsidRPr="00B7560E">
        <w:rPr>
          <w:lang w:val="fr-CA"/>
        </w:rPr>
        <w:t>pour une grande part</w:t>
      </w:r>
      <w:r w:rsidR="00697D45" w:rsidRPr="00B7560E">
        <w:rPr>
          <w:lang w:val="fr-CA"/>
        </w:rPr>
        <w:t xml:space="preserve"> à faire en sorte que les interventions lors des manifestations ne conduisent pas à </w:t>
      </w:r>
      <w:r w:rsidR="00DC06A8" w:rsidRPr="00B7560E">
        <w:rPr>
          <w:lang w:val="fr-CA"/>
        </w:rPr>
        <w:t>une escalade de la</w:t>
      </w:r>
      <w:r w:rsidR="00697D45" w:rsidRPr="00B7560E">
        <w:rPr>
          <w:lang w:val="fr-CA"/>
        </w:rPr>
        <w:t xml:space="preserve"> violence et à des violations des droits de l’homme </w:t>
      </w:r>
      <w:r w:rsidR="00DC06A8" w:rsidRPr="00B7560E">
        <w:rPr>
          <w:lang w:val="fr-CA"/>
        </w:rPr>
        <w:t>pouvant entraîner des pertes de vies humaines.</w:t>
      </w:r>
    </w:p>
    <w:p w:rsidR="00B7560E" w:rsidRPr="00B7560E" w:rsidRDefault="00B7560E" w:rsidP="00ED2A7C">
      <w:pPr>
        <w:pStyle w:val="ParNoG"/>
        <w:tabs>
          <w:tab w:val="clear" w:pos="1701"/>
        </w:tabs>
        <w:ind w:left="624"/>
        <w:rPr>
          <w:lang w:val="fr-CA"/>
        </w:rPr>
      </w:pPr>
      <w:r w:rsidRPr="00B7560E">
        <w:rPr>
          <w:lang w:val="fr-CA"/>
        </w:rPr>
        <w:t>Le Rapporteur spécial sur les exécutions extrajudiciaires, sommaires ou arbitraires a également fait allusion à une approche dite « de gestion négociée » de la surveillance policière des réunions. Dans le cadre de cette approche, la tâche de la police est de protéger les droits et de faciliter les manifestations plutôt que de les réprimer</w:t>
      </w:r>
      <w:r>
        <w:rPr>
          <w:lang w:val="fr-CA"/>
        </w:rPr>
        <w:t xml:space="preserve">, </w:t>
      </w:r>
      <w:r w:rsidR="00BC2D7D">
        <w:rPr>
          <w:lang w:val="fr-CA"/>
        </w:rPr>
        <w:t xml:space="preserve">et d’aider à calmer le jeu afin d’éviter un dangereux envenimement de la situation. Plusieurs des pays qui suivent cette démarche ont également formalisé le rôle </w:t>
      </w:r>
      <w:r w:rsidR="00ED2A7C">
        <w:rPr>
          <w:lang w:val="fr-CA"/>
        </w:rPr>
        <w:t xml:space="preserve">attribué au cours des manifestations à </w:t>
      </w:r>
      <w:r w:rsidR="008174B6">
        <w:rPr>
          <w:lang w:val="fr-CA"/>
        </w:rPr>
        <w:t xml:space="preserve">ce </w:t>
      </w:r>
      <w:r w:rsidR="00BC2D7D">
        <w:rPr>
          <w:lang w:val="fr-CA"/>
        </w:rPr>
        <w:t>qu’</w:t>
      </w:r>
      <w:r w:rsidR="00ED2A7C">
        <w:rPr>
          <w:lang w:val="fr-CA"/>
        </w:rPr>
        <w:t>on</w:t>
      </w:r>
      <w:r w:rsidR="00D23005">
        <w:rPr>
          <w:lang w:val="fr-CA"/>
        </w:rPr>
        <w:t xml:space="preserve"> </w:t>
      </w:r>
      <w:r w:rsidR="00BC2D7D">
        <w:rPr>
          <w:lang w:val="fr-CA"/>
        </w:rPr>
        <w:t>appel</w:t>
      </w:r>
      <w:r w:rsidR="006D0AB7">
        <w:rPr>
          <w:lang w:val="fr-CA"/>
        </w:rPr>
        <w:t>le</w:t>
      </w:r>
      <w:r w:rsidR="00BC2D7D">
        <w:rPr>
          <w:lang w:val="fr-CA"/>
        </w:rPr>
        <w:t xml:space="preserve"> le « triangle de sécurité »</w:t>
      </w:r>
      <w:r w:rsidR="001F14DA">
        <w:rPr>
          <w:lang w:val="fr-CA"/>
        </w:rPr>
        <w:t xml:space="preserve"> </w:t>
      </w:r>
      <w:r w:rsidR="004477C8">
        <w:rPr>
          <w:lang w:val="fr-CA"/>
        </w:rPr>
        <w:t>form</w:t>
      </w:r>
      <w:r w:rsidR="001F14DA">
        <w:rPr>
          <w:lang w:val="fr-CA"/>
        </w:rPr>
        <w:t>é par</w:t>
      </w:r>
      <w:r w:rsidR="00B61E08">
        <w:rPr>
          <w:lang w:val="fr-CA"/>
        </w:rPr>
        <w:t xml:space="preserve"> les organisateurs, les autorités locales ou étatiques et la police</w:t>
      </w:r>
      <w:r w:rsidR="006D0AB7">
        <w:rPr>
          <w:lang w:val="fr-CA"/>
        </w:rPr>
        <w:t>,</w:t>
      </w:r>
      <w:r w:rsidR="00B61E08">
        <w:rPr>
          <w:lang w:val="fr-CA"/>
        </w:rPr>
        <w:t xml:space="preserve"> </w:t>
      </w:r>
      <w:r w:rsidR="00ED2A7C">
        <w:rPr>
          <w:lang w:val="fr-CA"/>
        </w:rPr>
        <w:t>se fondant sur</w:t>
      </w:r>
      <w:r w:rsidR="008174B6">
        <w:rPr>
          <w:lang w:val="fr-CA"/>
        </w:rPr>
        <w:t xml:space="preserve"> une </w:t>
      </w:r>
      <w:r w:rsidR="006D0AB7">
        <w:rPr>
          <w:lang w:val="fr-CA"/>
        </w:rPr>
        <w:t xml:space="preserve">communication et </w:t>
      </w:r>
      <w:r w:rsidR="008174B6">
        <w:rPr>
          <w:lang w:val="fr-CA"/>
        </w:rPr>
        <w:t>une interaction</w:t>
      </w:r>
      <w:r w:rsidR="006D0AB7">
        <w:rPr>
          <w:lang w:val="fr-CA"/>
        </w:rPr>
        <w:t xml:space="preserve"> continu</w:t>
      </w:r>
      <w:r w:rsidR="008174B6">
        <w:rPr>
          <w:lang w:val="fr-CA"/>
        </w:rPr>
        <w:t xml:space="preserve">es entre ces </w:t>
      </w:r>
      <w:r w:rsidR="00842496">
        <w:rPr>
          <w:lang w:val="fr-CA"/>
        </w:rPr>
        <w:t>trois pôles</w:t>
      </w:r>
      <w:r w:rsidR="006D0AB7">
        <w:rPr>
          <w:lang w:val="fr-CA"/>
        </w:rPr>
        <w:t xml:space="preserve"> </w:t>
      </w:r>
      <w:r w:rsidR="00ED2A7C">
        <w:rPr>
          <w:lang w:val="fr-CA"/>
        </w:rPr>
        <w:t>pour</w:t>
      </w:r>
      <w:r w:rsidR="00B61E08">
        <w:rPr>
          <w:lang w:val="fr-CA"/>
        </w:rPr>
        <w:t xml:space="preserve"> prévenir les risques et </w:t>
      </w:r>
      <w:r w:rsidR="00ED2A7C">
        <w:rPr>
          <w:lang w:val="fr-CA"/>
        </w:rPr>
        <w:t>faire en sorte que l</w:t>
      </w:r>
      <w:r w:rsidR="006D0AB7">
        <w:rPr>
          <w:lang w:val="fr-CA"/>
        </w:rPr>
        <w:t>e</w:t>
      </w:r>
      <w:r w:rsidR="001F14DA">
        <w:rPr>
          <w:lang w:val="fr-CA"/>
        </w:rPr>
        <w:t xml:space="preserve">s </w:t>
      </w:r>
      <w:r w:rsidR="00ED2A7C">
        <w:rPr>
          <w:lang w:val="fr-CA"/>
        </w:rPr>
        <w:t>évolutions de la situation puissent être gérées sans problème</w:t>
      </w:r>
      <w:r w:rsidR="00B61E08">
        <w:rPr>
          <w:lang w:val="fr-CA"/>
        </w:rPr>
        <w:t>.</w:t>
      </w:r>
    </w:p>
    <w:p w:rsidR="00DC06A8" w:rsidRDefault="00ED2A7C" w:rsidP="009F3086">
      <w:pPr>
        <w:pStyle w:val="Style1"/>
        <w:keepLines w:val="0"/>
        <w:numPr>
          <w:ilvl w:val="0"/>
          <w:numId w:val="36"/>
        </w:numPr>
        <w:ind w:left="720"/>
      </w:pPr>
      <w:bookmarkStart w:id="10" w:name="_Toc383772277"/>
      <w:bookmarkStart w:id="11" w:name="_Toc383772369"/>
      <w:bookmarkStart w:id="12" w:name="_Toc383772724"/>
      <w:r>
        <w:t>Législations nationales, mesures efficaces et meilleures pratiques</w:t>
      </w:r>
      <w:bookmarkEnd w:id="10"/>
      <w:bookmarkEnd w:id="11"/>
      <w:bookmarkEnd w:id="12"/>
    </w:p>
    <w:p w:rsidR="00ED2A7C" w:rsidRPr="00A950D5" w:rsidRDefault="00A950D5" w:rsidP="000C247D">
      <w:pPr>
        <w:pStyle w:val="Style2"/>
        <w:ind w:left="615"/>
      </w:pPr>
      <w:bookmarkStart w:id="13" w:name="_Toc383772278"/>
      <w:bookmarkStart w:id="14" w:name="_Toc383772370"/>
      <w:bookmarkStart w:id="15" w:name="_Toc383772725"/>
      <w:r w:rsidRPr="00A950D5">
        <w:t>Législations nationales pertinentes</w:t>
      </w:r>
      <w:bookmarkEnd w:id="13"/>
      <w:bookmarkEnd w:id="14"/>
      <w:bookmarkEnd w:id="15"/>
    </w:p>
    <w:p w:rsidR="00A950D5" w:rsidRDefault="00B166BE" w:rsidP="00ED2A7C">
      <w:pPr>
        <w:pStyle w:val="ParNoG"/>
        <w:tabs>
          <w:tab w:val="clear" w:pos="1701"/>
        </w:tabs>
        <w:ind w:left="624"/>
        <w:rPr>
          <w:lang w:val="fr-CA"/>
        </w:rPr>
      </w:pPr>
      <w:r>
        <w:rPr>
          <w:lang w:val="fr-CA"/>
        </w:rPr>
        <w:t>T</w:t>
      </w:r>
      <w:r w:rsidR="00A950D5">
        <w:rPr>
          <w:lang w:val="fr-CA"/>
        </w:rPr>
        <w:t>ous les États qui ont fourni des contributions au présent rapport</w:t>
      </w:r>
      <w:r>
        <w:rPr>
          <w:lang w:val="fr-CA"/>
        </w:rPr>
        <w:t xml:space="preserve"> ont </w:t>
      </w:r>
      <w:r w:rsidR="00927DA1">
        <w:rPr>
          <w:lang w:val="fr-CA"/>
        </w:rPr>
        <w:t>indiqu</w:t>
      </w:r>
      <w:r>
        <w:rPr>
          <w:lang w:val="fr-CA"/>
        </w:rPr>
        <w:t>é que</w:t>
      </w:r>
      <w:r w:rsidR="00A950D5">
        <w:rPr>
          <w:lang w:val="fr-CA"/>
        </w:rPr>
        <w:t xml:space="preserve"> le droit de réunion pacifique qui, dans certains cas, </w:t>
      </w:r>
      <w:r w:rsidR="00253026">
        <w:rPr>
          <w:lang w:val="fr-CA"/>
        </w:rPr>
        <w:t xml:space="preserve">inclut celui de protestation ou </w:t>
      </w:r>
      <w:r w:rsidR="00A950D5">
        <w:rPr>
          <w:lang w:val="fr-CA"/>
        </w:rPr>
        <w:t>manifestation pacifique</w:t>
      </w:r>
      <w:r w:rsidR="00253026">
        <w:rPr>
          <w:lang w:val="fr-CA"/>
        </w:rPr>
        <w:t>, est</w:t>
      </w:r>
      <w:r w:rsidR="0023668F">
        <w:rPr>
          <w:lang w:val="fr-CA"/>
        </w:rPr>
        <w:t xml:space="preserve"> protégé</w:t>
      </w:r>
      <w:r w:rsidR="00253026">
        <w:rPr>
          <w:lang w:val="fr-CA"/>
        </w:rPr>
        <w:t xml:space="preserve"> par l</w:t>
      </w:r>
      <w:r>
        <w:rPr>
          <w:lang w:val="fr-CA"/>
        </w:rPr>
        <w:t>eur</w:t>
      </w:r>
      <w:r w:rsidR="00253026">
        <w:rPr>
          <w:lang w:val="fr-CA"/>
        </w:rPr>
        <w:t xml:space="preserve"> Constitution</w:t>
      </w:r>
      <w:r w:rsidR="006A2220">
        <w:rPr>
          <w:lang w:val="fr-CA"/>
        </w:rPr>
        <w:t>,</w:t>
      </w:r>
      <w:r w:rsidR="00253026">
        <w:rPr>
          <w:lang w:val="fr-CA"/>
        </w:rPr>
        <w:t xml:space="preserve"> </w:t>
      </w:r>
      <w:r w:rsidR="006A2220">
        <w:rPr>
          <w:lang w:val="fr-CA"/>
        </w:rPr>
        <w:t xml:space="preserve">par </w:t>
      </w:r>
      <w:r w:rsidR="00253026">
        <w:rPr>
          <w:lang w:val="fr-CA"/>
        </w:rPr>
        <w:t xml:space="preserve">des lois spécifiques, ou </w:t>
      </w:r>
      <w:r w:rsidR="006A2220">
        <w:rPr>
          <w:lang w:val="fr-CA"/>
        </w:rPr>
        <w:t xml:space="preserve">par </w:t>
      </w:r>
      <w:r w:rsidR="00253026">
        <w:rPr>
          <w:lang w:val="fr-CA"/>
        </w:rPr>
        <w:t>les deux.</w:t>
      </w:r>
    </w:p>
    <w:p w:rsidR="00253026" w:rsidRDefault="000524D2" w:rsidP="00ED2A7C">
      <w:pPr>
        <w:pStyle w:val="ParNoG"/>
        <w:tabs>
          <w:tab w:val="clear" w:pos="1701"/>
        </w:tabs>
        <w:ind w:left="624"/>
        <w:rPr>
          <w:lang w:val="fr-CA"/>
        </w:rPr>
      </w:pPr>
      <w:r>
        <w:rPr>
          <w:lang w:val="fr-CA"/>
        </w:rPr>
        <w:t>Au</w:t>
      </w:r>
      <w:r w:rsidR="00253026">
        <w:rPr>
          <w:lang w:val="fr-CA"/>
        </w:rPr>
        <w:t xml:space="preserve"> Costa Rica</w:t>
      </w:r>
      <w:r>
        <w:rPr>
          <w:lang w:val="fr-CA"/>
        </w:rPr>
        <w:t>,</w:t>
      </w:r>
      <w:r w:rsidR="006A2220">
        <w:rPr>
          <w:lang w:val="fr-CA"/>
        </w:rPr>
        <w:t xml:space="preserve"> l</w:t>
      </w:r>
      <w:r w:rsidR="0023668F">
        <w:rPr>
          <w:lang w:val="fr-CA"/>
        </w:rPr>
        <w:t>a protestation</w:t>
      </w:r>
      <w:r w:rsidR="006A2220">
        <w:rPr>
          <w:lang w:val="fr-CA"/>
        </w:rPr>
        <w:t xml:space="preserve"> pacifique </w:t>
      </w:r>
      <w:r w:rsidR="002620F9">
        <w:rPr>
          <w:lang w:val="fr-CA"/>
        </w:rPr>
        <w:t>est</w:t>
      </w:r>
      <w:r w:rsidR="006A2220">
        <w:rPr>
          <w:lang w:val="fr-CA"/>
        </w:rPr>
        <w:t xml:space="preserve"> </w:t>
      </w:r>
      <w:r w:rsidR="00325342">
        <w:rPr>
          <w:lang w:val="fr-CA"/>
        </w:rPr>
        <w:t>utilis</w:t>
      </w:r>
      <w:r w:rsidR="002620F9">
        <w:rPr>
          <w:lang w:val="fr-CA"/>
        </w:rPr>
        <w:t>é</w:t>
      </w:r>
      <w:r w:rsidR="0023668F">
        <w:rPr>
          <w:lang w:val="fr-CA"/>
        </w:rPr>
        <w:t>e</w:t>
      </w:r>
      <w:r w:rsidR="00325342">
        <w:rPr>
          <w:lang w:val="fr-CA"/>
        </w:rPr>
        <w:t xml:space="preserve"> comme</w:t>
      </w:r>
      <w:r w:rsidR="006A2220">
        <w:rPr>
          <w:lang w:val="fr-CA"/>
        </w:rPr>
        <w:t xml:space="preserve"> moyen </w:t>
      </w:r>
      <w:r w:rsidR="00325342">
        <w:rPr>
          <w:lang w:val="fr-CA"/>
        </w:rPr>
        <w:t xml:space="preserve">de </w:t>
      </w:r>
      <w:r w:rsidR="006A2220">
        <w:rPr>
          <w:lang w:val="fr-CA"/>
        </w:rPr>
        <w:t xml:space="preserve">mobiliser </w:t>
      </w:r>
      <w:r w:rsidR="00325342">
        <w:rPr>
          <w:lang w:val="fr-CA"/>
        </w:rPr>
        <w:t>du</w:t>
      </w:r>
      <w:r w:rsidR="006A2220">
        <w:rPr>
          <w:lang w:val="fr-CA"/>
        </w:rPr>
        <w:t xml:space="preserve"> soutien </w:t>
      </w:r>
      <w:r w:rsidR="00325342">
        <w:rPr>
          <w:lang w:val="fr-CA"/>
        </w:rPr>
        <w:t xml:space="preserve">auprès </w:t>
      </w:r>
      <w:r w:rsidR="006A2220">
        <w:rPr>
          <w:lang w:val="fr-CA"/>
        </w:rPr>
        <w:t xml:space="preserve">de la société civile et de l’État </w:t>
      </w:r>
      <w:r>
        <w:rPr>
          <w:lang w:val="fr-CA"/>
        </w:rPr>
        <w:t>au sujet de</w:t>
      </w:r>
      <w:r w:rsidR="006A2220">
        <w:rPr>
          <w:lang w:val="fr-CA"/>
        </w:rPr>
        <w:t xml:space="preserve"> </w:t>
      </w:r>
      <w:r w:rsidR="0018615A">
        <w:rPr>
          <w:lang w:val="fr-CA"/>
        </w:rPr>
        <w:t>questions</w:t>
      </w:r>
      <w:r w:rsidR="00416D44">
        <w:rPr>
          <w:lang w:val="fr-CA"/>
        </w:rPr>
        <w:t xml:space="preserve"> </w:t>
      </w:r>
      <w:r w:rsidR="006A2220">
        <w:rPr>
          <w:lang w:val="fr-CA"/>
        </w:rPr>
        <w:t xml:space="preserve">qui </w:t>
      </w:r>
      <w:r w:rsidR="00325342">
        <w:rPr>
          <w:lang w:val="fr-CA"/>
        </w:rPr>
        <w:t>ont un</w:t>
      </w:r>
      <w:r w:rsidR="003E061D">
        <w:rPr>
          <w:lang w:val="fr-CA"/>
        </w:rPr>
        <w:t>e incidence</w:t>
      </w:r>
      <w:r w:rsidR="00325342">
        <w:rPr>
          <w:lang w:val="fr-CA"/>
        </w:rPr>
        <w:t xml:space="preserve"> sur les </w:t>
      </w:r>
      <w:r w:rsidR="002620F9">
        <w:rPr>
          <w:lang w:val="fr-CA"/>
        </w:rPr>
        <w:t>protestataire</w:t>
      </w:r>
      <w:r w:rsidR="00325342">
        <w:rPr>
          <w:lang w:val="fr-CA"/>
        </w:rPr>
        <w:t>s</w:t>
      </w:r>
      <w:r w:rsidR="002620F9">
        <w:rPr>
          <w:lang w:val="fr-CA"/>
        </w:rPr>
        <w:t xml:space="preserve"> et </w:t>
      </w:r>
      <w:r>
        <w:rPr>
          <w:lang w:val="fr-CA"/>
        </w:rPr>
        <w:t xml:space="preserve">est considérée comme </w:t>
      </w:r>
      <w:r w:rsidR="00B166BE">
        <w:rPr>
          <w:lang w:val="fr-CA"/>
        </w:rPr>
        <w:t>fai</w:t>
      </w:r>
      <w:r>
        <w:rPr>
          <w:lang w:val="fr-CA"/>
        </w:rPr>
        <w:t>san</w:t>
      </w:r>
      <w:r w:rsidR="00B166BE">
        <w:rPr>
          <w:lang w:val="fr-CA"/>
        </w:rPr>
        <w:t>t partie des pratiques</w:t>
      </w:r>
      <w:r w:rsidR="00325342">
        <w:rPr>
          <w:lang w:val="fr-CA"/>
        </w:rPr>
        <w:t xml:space="preserve"> </w:t>
      </w:r>
      <w:r>
        <w:rPr>
          <w:lang w:val="fr-CA"/>
        </w:rPr>
        <w:t xml:space="preserve">courantes </w:t>
      </w:r>
      <w:r w:rsidR="0023668F">
        <w:rPr>
          <w:lang w:val="fr-CA"/>
        </w:rPr>
        <w:t xml:space="preserve">d’une </w:t>
      </w:r>
      <w:r w:rsidR="00325342">
        <w:rPr>
          <w:lang w:val="fr-CA"/>
        </w:rPr>
        <w:t>démocra</w:t>
      </w:r>
      <w:r w:rsidR="0023668F">
        <w:rPr>
          <w:lang w:val="fr-CA"/>
        </w:rPr>
        <w:t>tie active</w:t>
      </w:r>
      <w:r w:rsidR="00325342">
        <w:rPr>
          <w:lang w:val="fr-CA"/>
        </w:rPr>
        <w:t xml:space="preserve"> et participative. Selon </w:t>
      </w:r>
      <w:r>
        <w:rPr>
          <w:lang w:val="fr-CA"/>
        </w:rPr>
        <w:t>l</w:t>
      </w:r>
      <w:r w:rsidR="00325342">
        <w:rPr>
          <w:lang w:val="fr-CA"/>
        </w:rPr>
        <w:t xml:space="preserve">a Cour constitutionnelle, </w:t>
      </w:r>
      <w:r>
        <w:rPr>
          <w:lang w:val="fr-CA"/>
        </w:rPr>
        <w:t>elle</w:t>
      </w:r>
      <w:r w:rsidR="00B166BE">
        <w:rPr>
          <w:lang w:val="fr-CA"/>
        </w:rPr>
        <w:t xml:space="preserve"> est </w:t>
      </w:r>
      <w:r w:rsidR="00325342">
        <w:rPr>
          <w:lang w:val="fr-CA"/>
        </w:rPr>
        <w:t>une manifestation de la liberté d’expression</w:t>
      </w:r>
      <w:r w:rsidR="003E061D">
        <w:rPr>
          <w:lang w:val="fr-CA"/>
        </w:rPr>
        <w:t>, qui est</w:t>
      </w:r>
      <w:r w:rsidR="00325342">
        <w:rPr>
          <w:lang w:val="fr-CA"/>
        </w:rPr>
        <w:t xml:space="preserve"> </w:t>
      </w:r>
      <w:r w:rsidR="003E061D">
        <w:rPr>
          <w:lang w:val="fr-CA"/>
        </w:rPr>
        <w:t>garantie par la loi</w:t>
      </w:r>
      <w:r w:rsidR="00B166BE">
        <w:rPr>
          <w:rStyle w:val="Appelnotedebasdep"/>
        </w:rPr>
        <w:footnoteReference w:id="13"/>
      </w:r>
      <w:r w:rsidR="003E061D">
        <w:rPr>
          <w:lang w:val="fr-CA"/>
        </w:rPr>
        <w:t>.</w:t>
      </w:r>
    </w:p>
    <w:p w:rsidR="0039452D" w:rsidRDefault="0039452D" w:rsidP="00ED2A7C">
      <w:pPr>
        <w:pStyle w:val="ParNoG"/>
        <w:tabs>
          <w:tab w:val="clear" w:pos="1701"/>
        </w:tabs>
        <w:ind w:left="624"/>
        <w:rPr>
          <w:lang w:val="fr-CA"/>
        </w:rPr>
      </w:pPr>
      <w:r>
        <w:rPr>
          <w:lang w:val="fr-CA"/>
        </w:rPr>
        <w:t xml:space="preserve">En Mongolie, la Constitution protège le </w:t>
      </w:r>
      <w:r w:rsidR="005C4690">
        <w:rPr>
          <w:lang w:val="fr-CA"/>
        </w:rPr>
        <w:t>droit des citoyens de se réunir et de manifester pacifiquement</w:t>
      </w:r>
      <w:r>
        <w:rPr>
          <w:lang w:val="fr-CA"/>
        </w:rPr>
        <w:t>. L</w:t>
      </w:r>
      <w:r w:rsidR="000524D2">
        <w:rPr>
          <w:lang w:val="fr-CA"/>
        </w:rPr>
        <w:t>’organisation</w:t>
      </w:r>
      <w:r>
        <w:rPr>
          <w:lang w:val="fr-CA"/>
        </w:rPr>
        <w:t xml:space="preserve"> de réunions et de manifestations est régie par une loi qui en définit les procédures.</w:t>
      </w:r>
    </w:p>
    <w:p w:rsidR="0039452D" w:rsidRDefault="0039452D" w:rsidP="0039452D">
      <w:pPr>
        <w:pStyle w:val="ParNoG"/>
        <w:tabs>
          <w:tab w:val="clear" w:pos="1701"/>
        </w:tabs>
        <w:ind w:left="624"/>
        <w:rPr>
          <w:lang w:val="fr-CA"/>
        </w:rPr>
      </w:pPr>
      <w:r w:rsidRPr="0039452D">
        <w:rPr>
          <w:lang w:val="fr-CA"/>
        </w:rPr>
        <w:t xml:space="preserve">En Suisse, la liberté de manifester, qui est essentielle dans un État de droit soucieux de la liberté de ses citoyens, est protégée par </w:t>
      </w:r>
      <w:r w:rsidR="000524D2">
        <w:rPr>
          <w:lang w:val="fr-CA"/>
        </w:rPr>
        <w:t xml:space="preserve">des dispositions </w:t>
      </w:r>
      <w:r w:rsidR="000524D2" w:rsidRPr="0039452D">
        <w:rPr>
          <w:lang w:val="fr-CA"/>
        </w:rPr>
        <w:t>de la Constitution fédérale</w:t>
      </w:r>
      <w:r w:rsidR="000524D2">
        <w:rPr>
          <w:lang w:val="fr-CA"/>
        </w:rPr>
        <w:t xml:space="preserve"> </w:t>
      </w:r>
      <w:r w:rsidR="00B64E59">
        <w:rPr>
          <w:lang w:val="fr-CA"/>
        </w:rPr>
        <w:t>relatives à</w:t>
      </w:r>
      <w:r w:rsidR="000524D2">
        <w:rPr>
          <w:lang w:val="fr-CA"/>
        </w:rPr>
        <w:t xml:space="preserve"> </w:t>
      </w:r>
      <w:r w:rsidRPr="0039452D">
        <w:rPr>
          <w:lang w:val="fr-CA"/>
        </w:rPr>
        <w:t>la liberté d’</w:t>
      </w:r>
      <w:r w:rsidR="000524D2">
        <w:rPr>
          <w:lang w:val="fr-CA"/>
        </w:rPr>
        <w:t xml:space="preserve">opinion, </w:t>
      </w:r>
      <w:r w:rsidR="00B64E59">
        <w:rPr>
          <w:lang w:val="fr-CA"/>
        </w:rPr>
        <w:t xml:space="preserve">à </w:t>
      </w:r>
      <w:r w:rsidR="000524D2">
        <w:rPr>
          <w:lang w:val="fr-CA"/>
        </w:rPr>
        <w:t xml:space="preserve">la liberté d’information </w:t>
      </w:r>
      <w:r w:rsidRPr="0039452D">
        <w:rPr>
          <w:lang w:val="fr-CA"/>
        </w:rPr>
        <w:t xml:space="preserve">et </w:t>
      </w:r>
      <w:r w:rsidR="00B64E59">
        <w:rPr>
          <w:lang w:val="fr-CA"/>
        </w:rPr>
        <w:t xml:space="preserve">à </w:t>
      </w:r>
      <w:r w:rsidRPr="0039452D">
        <w:rPr>
          <w:lang w:val="fr-CA"/>
        </w:rPr>
        <w:t>la liberté de réunion</w:t>
      </w:r>
      <w:r w:rsidR="000524D2">
        <w:rPr>
          <w:lang w:val="fr-CA"/>
        </w:rPr>
        <w:t>.</w:t>
      </w:r>
    </w:p>
    <w:p w:rsidR="000524D2" w:rsidRDefault="00600FFE" w:rsidP="0039452D">
      <w:pPr>
        <w:pStyle w:val="ParNoG"/>
        <w:tabs>
          <w:tab w:val="clear" w:pos="1701"/>
        </w:tabs>
        <w:ind w:left="624"/>
        <w:rPr>
          <w:lang w:val="fr-CA"/>
        </w:rPr>
      </w:pPr>
      <w:r>
        <w:rPr>
          <w:lang w:val="fr-CA"/>
        </w:rPr>
        <w:t xml:space="preserve">En Espagne, la Constitution reconnaît le droit de se réunir et de </w:t>
      </w:r>
      <w:r w:rsidR="00B64E59">
        <w:rPr>
          <w:lang w:val="fr-CA"/>
        </w:rPr>
        <w:t>manif</w:t>
      </w:r>
      <w:r>
        <w:rPr>
          <w:lang w:val="fr-CA"/>
        </w:rPr>
        <w:t xml:space="preserve">ester pacifiquement, sans armes. </w:t>
      </w:r>
      <w:r w:rsidR="00B64E59">
        <w:rPr>
          <w:lang w:val="fr-CA"/>
        </w:rPr>
        <w:t>Une manifestation pacifique est juridiquement définie comme l’exercice collectif de la liberté d’expression</w:t>
      </w:r>
      <w:r w:rsidR="0036233F">
        <w:rPr>
          <w:lang w:val="fr-CA"/>
        </w:rPr>
        <w:t>,</w:t>
      </w:r>
      <w:r w:rsidR="00B64E59">
        <w:rPr>
          <w:lang w:val="fr-CA"/>
        </w:rPr>
        <w:t xml:space="preserve"> dans le cadre d’une réunion temporaire</w:t>
      </w:r>
      <w:r w:rsidR="0036233F">
        <w:rPr>
          <w:lang w:val="fr-CA"/>
        </w:rPr>
        <w:t>,</w:t>
      </w:r>
      <w:r w:rsidR="00B64E59">
        <w:rPr>
          <w:lang w:val="fr-CA"/>
        </w:rPr>
        <w:t xml:space="preserve"> </w:t>
      </w:r>
      <w:r w:rsidR="00D951CB">
        <w:rPr>
          <w:lang w:val="fr-CA"/>
        </w:rPr>
        <w:t xml:space="preserve">par </w:t>
      </w:r>
      <w:r w:rsidR="00B64E59">
        <w:rPr>
          <w:lang w:val="fr-CA"/>
        </w:rPr>
        <w:t>de</w:t>
      </w:r>
      <w:r w:rsidR="00D951CB">
        <w:rPr>
          <w:lang w:val="fr-CA"/>
        </w:rPr>
        <w:t>s</w:t>
      </w:r>
      <w:r w:rsidR="00B64E59">
        <w:rPr>
          <w:lang w:val="fr-CA"/>
        </w:rPr>
        <w:t xml:space="preserve"> personnes dont le but est d’échanger ou d’exposer des idées, de défendre des intérêts particuliers ou </w:t>
      </w:r>
      <w:r w:rsidR="00D951CB">
        <w:rPr>
          <w:lang w:val="fr-CA"/>
        </w:rPr>
        <w:t>de porter des problèmes ou des revendications à la connaissance du public.</w:t>
      </w:r>
      <w:r w:rsidR="0036233F">
        <w:rPr>
          <w:lang w:val="fr-CA"/>
        </w:rPr>
        <w:t xml:space="preserve"> </w:t>
      </w:r>
      <w:r w:rsidR="006146CA">
        <w:rPr>
          <w:lang w:val="fr-CA"/>
        </w:rPr>
        <w:t>L’Espagne a par ailleurs souligné</w:t>
      </w:r>
      <w:r w:rsidR="0036233F">
        <w:rPr>
          <w:lang w:val="fr-CA"/>
        </w:rPr>
        <w:t xml:space="preserve"> </w:t>
      </w:r>
      <w:r w:rsidR="006146CA">
        <w:rPr>
          <w:lang w:val="fr-CA"/>
        </w:rPr>
        <w:t>le</w:t>
      </w:r>
      <w:r w:rsidR="0036233F">
        <w:rPr>
          <w:lang w:val="fr-CA"/>
        </w:rPr>
        <w:t xml:space="preserve"> lien </w:t>
      </w:r>
      <w:r w:rsidR="006146CA">
        <w:rPr>
          <w:lang w:val="fr-CA"/>
        </w:rPr>
        <w:t xml:space="preserve">juridique </w:t>
      </w:r>
      <w:r w:rsidR="0036233F">
        <w:rPr>
          <w:lang w:val="fr-CA"/>
        </w:rPr>
        <w:t>étroit entre le droit de réunion pacifique et le droit à la liberté d’expression</w:t>
      </w:r>
      <w:r w:rsidR="0036233F">
        <w:rPr>
          <w:rStyle w:val="Appelnotedebasdep"/>
        </w:rPr>
        <w:footnoteReference w:id="14"/>
      </w:r>
      <w:r w:rsidR="0036233F">
        <w:rPr>
          <w:lang w:val="fr-CA"/>
        </w:rPr>
        <w:t>.</w:t>
      </w:r>
    </w:p>
    <w:p w:rsidR="006146CA" w:rsidRDefault="005C4690" w:rsidP="0039452D">
      <w:pPr>
        <w:pStyle w:val="ParNoG"/>
        <w:tabs>
          <w:tab w:val="clear" w:pos="1701"/>
        </w:tabs>
        <w:ind w:left="624"/>
        <w:rPr>
          <w:lang w:val="fr-CA"/>
        </w:rPr>
      </w:pPr>
      <w:r>
        <w:rPr>
          <w:lang w:val="fr-CA"/>
        </w:rPr>
        <w:t>L</w:t>
      </w:r>
      <w:r w:rsidR="006146CA">
        <w:rPr>
          <w:lang w:val="fr-CA"/>
        </w:rPr>
        <w:t xml:space="preserve">es constitutions des pays suivants : Bulgarie, Guatemala, Panama, Paraguay et Venezuela (République bolivarienne de) protègent </w:t>
      </w:r>
      <w:r>
        <w:rPr>
          <w:lang w:val="fr-CA"/>
        </w:rPr>
        <w:t xml:space="preserve">également </w:t>
      </w:r>
      <w:r w:rsidR="006146CA">
        <w:rPr>
          <w:lang w:val="fr-CA"/>
        </w:rPr>
        <w:t xml:space="preserve">le </w:t>
      </w:r>
      <w:r>
        <w:rPr>
          <w:lang w:val="fr-CA"/>
        </w:rPr>
        <w:t>droit de se réunir et de manifester pacifiquement</w:t>
      </w:r>
      <w:r w:rsidR="00E9181A">
        <w:rPr>
          <w:lang w:val="fr-CA"/>
        </w:rPr>
        <w:t xml:space="preserve"> et</w:t>
      </w:r>
      <w:r>
        <w:rPr>
          <w:lang w:val="fr-CA"/>
        </w:rPr>
        <w:t xml:space="preserve"> précis</w:t>
      </w:r>
      <w:r w:rsidR="00E9181A">
        <w:rPr>
          <w:lang w:val="fr-CA"/>
        </w:rPr>
        <w:t>e</w:t>
      </w:r>
      <w:r>
        <w:rPr>
          <w:lang w:val="fr-CA"/>
        </w:rPr>
        <w:t xml:space="preserve">nt </w:t>
      </w:r>
      <w:r w:rsidR="00862856">
        <w:rPr>
          <w:lang w:val="fr-CA"/>
        </w:rPr>
        <w:t xml:space="preserve">de façon appuyée </w:t>
      </w:r>
      <w:r>
        <w:rPr>
          <w:lang w:val="fr-CA"/>
        </w:rPr>
        <w:t xml:space="preserve">que l’exercice de ce droit devrait se faire sans armes. </w:t>
      </w:r>
      <w:r w:rsidR="00A101DD">
        <w:rPr>
          <w:lang w:val="fr-CA"/>
        </w:rPr>
        <w:t>Au</w:t>
      </w:r>
      <w:r w:rsidR="004D3DD3">
        <w:rPr>
          <w:lang w:val="fr-CA"/>
        </w:rPr>
        <w:t>ssi bien au</w:t>
      </w:r>
      <w:r>
        <w:rPr>
          <w:lang w:val="fr-CA"/>
        </w:rPr>
        <w:t xml:space="preserve"> Qatar </w:t>
      </w:r>
      <w:r w:rsidR="004D3DD3">
        <w:rPr>
          <w:lang w:val="fr-CA"/>
        </w:rPr>
        <w:t>qu’</w:t>
      </w:r>
      <w:r w:rsidR="00A101DD">
        <w:rPr>
          <w:lang w:val="fr-CA"/>
        </w:rPr>
        <w:t>à</w:t>
      </w:r>
      <w:r>
        <w:rPr>
          <w:lang w:val="fr-CA"/>
        </w:rPr>
        <w:t xml:space="preserve"> Bahreïn</w:t>
      </w:r>
      <w:r w:rsidR="00A101DD">
        <w:rPr>
          <w:lang w:val="fr-CA"/>
        </w:rPr>
        <w:t xml:space="preserve">, la </w:t>
      </w:r>
      <w:r w:rsidR="00CA0FB6">
        <w:rPr>
          <w:lang w:val="fr-CA"/>
        </w:rPr>
        <w:t>c</w:t>
      </w:r>
      <w:r w:rsidR="00A101DD">
        <w:rPr>
          <w:lang w:val="fr-CA"/>
        </w:rPr>
        <w:t>onstitution</w:t>
      </w:r>
      <w:r w:rsidR="00E9181A">
        <w:rPr>
          <w:lang w:val="fr-CA"/>
        </w:rPr>
        <w:t xml:space="preserve"> protège le droit de réunion</w:t>
      </w:r>
      <w:r w:rsidR="00CA0FB6">
        <w:rPr>
          <w:lang w:val="fr-CA"/>
        </w:rPr>
        <w:t xml:space="preserve"> et des lois </w:t>
      </w:r>
      <w:r w:rsidR="00A101DD">
        <w:rPr>
          <w:lang w:val="fr-CA"/>
        </w:rPr>
        <w:t>interdi</w:t>
      </w:r>
      <w:r w:rsidR="00CA0FB6">
        <w:rPr>
          <w:lang w:val="fr-CA"/>
        </w:rPr>
        <w:t>san</w:t>
      </w:r>
      <w:r w:rsidR="00A101DD">
        <w:rPr>
          <w:lang w:val="fr-CA"/>
        </w:rPr>
        <w:t>t l’utilisation d’armes durant les réunions</w:t>
      </w:r>
      <w:r w:rsidR="00CA0FB6">
        <w:rPr>
          <w:lang w:val="fr-CA"/>
        </w:rPr>
        <w:t xml:space="preserve"> ont été adoptées</w:t>
      </w:r>
      <w:r w:rsidR="00A101DD">
        <w:rPr>
          <w:lang w:val="fr-CA"/>
        </w:rPr>
        <w:t>.</w:t>
      </w:r>
    </w:p>
    <w:p w:rsidR="00CA0FB6" w:rsidRDefault="002F0541" w:rsidP="0039452D">
      <w:pPr>
        <w:pStyle w:val="ParNoG"/>
        <w:tabs>
          <w:tab w:val="clear" w:pos="1701"/>
        </w:tabs>
        <w:ind w:left="624"/>
        <w:rPr>
          <w:lang w:val="fr-CA"/>
        </w:rPr>
      </w:pPr>
      <w:r>
        <w:rPr>
          <w:lang w:val="fr-CA"/>
        </w:rPr>
        <w:t xml:space="preserve">En Serbie, </w:t>
      </w:r>
      <w:r w:rsidR="00665DE6">
        <w:rPr>
          <w:lang w:val="fr-CA"/>
        </w:rPr>
        <w:t>le droit de se réunir pacifiquement est ancré dans la Constitution et les droits des citoyens à la liberté de pensée et d’expression durant les manifestations pacifiques sont protégés. À Maurice, les manifestations pacifiques sont protégées par deux dispositions constitutionnelles différentes se rapportant, d’une part, au droit à la liberté d’expression et, d’autre part, au droit à la liberté de réunion et d’association.</w:t>
      </w:r>
    </w:p>
    <w:p w:rsidR="00665DE6" w:rsidRDefault="00665DE6" w:rsidP="0039452D">
      <w:pPr>
        <w:pStyle w:val="ParNoG"/>
        <w:tabs>
          <w:tab w:val="clear" w:pos="1701"/>
        </w:tabs>
        <w:ind w:left="624"/>
        <w:rPr>
          <w:lang w:val="fr-CA"/>
        </w:rPr>
      </w:pPr>
      <w:r>
        <w:rPr>
          <w:lang w:val="fr-CA"/>
        </w:rPr>
        <w:t>En Estonie, la Constitution dispose que tout le monde a le droit de se r</w:t>
      </w:r>
      <w:r w:rsidR="00FA2DE0">
        <w:rPr>
          <w:lang w:val="fr-CA"/>
        </w:rPr>
        <w:t>assembler</w:t>
      </w:r>
      <w:r>
        <w:rPr>
          <w:lang w:val="fr-CA"/>
        </w:rPr>
        <w:t xml:space="preserve"> pacifiquement et de tenir des r</w:t>
      </w:r>
      <w:r w:rsidR="00FA2DE0">
        <w:rPr>
          <w:lang w:val="fr-CA"/>
        </w:rPr>
        <w:t xml:space="preserve">éunions sans autorisation préalable. Toutefois, elle </w:t>
      </w:r>
      <w:r w:rsidR="0023200D">
        <w:rPr>
          <w:lang w:val="fr-CA"/>
        </w:rPr>
        <w:t>p</w:t>
      </w:r>
      <w:r w:rsidR="008563E9">
        <w:rPr>
          <w:lang w:val="fr-CA"/>
        </w:rPr>
        <w:t>révoit</w:t>
      </w:r>
      <w:r w:rsidR="00FA2DE0">
        <w:rPr>
          <w:lang w:val="fr-CA"/>
        </w:rPr>
        <w:t xml:space="preserve"> également </w:t>
      </w:r>
      <w:r w:rsidR="008563E9">
        <w:rPr>
          <w:lang w:val="fr-CA"/>
        </w:rPr>
        <w:t>la possibilité de restreindre</w:t>
      </w:r>
      <w:r w:rsidR="0023200D">
        <w:rPr>
          <w:lang w:val="fr-CA"/>
        </w:rPr>
        <w:t xml:space="preserve"> ce droit</w:t>
      </w:r>
      <w:r w:rsidR="00FA2DE0">
        <w:rPr>
          <w:lang w:val="fr-CA"/>
        </w:rPr>
        <w:t xml:space="preserve"> </w:t>
      </w:r>
      <w:r w:rsidR="008563E9">
        <w:rPr>
          <w:lang w:val="fr-CA"/>
        </w:rPr>
        <w:t xml:space="preserve">selon </w:t>
      </w:r>
      <w:r w:rsidR="00FA2DE0">
        <w:rPr>
          <w:lang w:val="fr-CA"/>
        </w:rPr>
        <w:t xml:space="preserve">une procédure </w:t>
      </w:r>
      <w:r w:rsidR="008563E9">
        <w:rPr>
          <w:lang w:val="fr-CA"/>
        </w:rPr>
        <w:t>défini</w:t>
      </w:r>
      <w:r w:rsidR="00FA2DE0">
        <w:rPr>
          <w:lang w:val="fr-CA"/>
        </w:rPr>
        <w:t xml:space="preserve">e </w:t>
      </w:r>
      <w:r w:rsidR="005E1CB2">
        <w:rPr>
          <w:lang w:val="fr-CA"/>
        </w:rPr>
        <w:t>dans</w:t>
      </w:r>
      <w:r w:rsidR="00650E29">
        <w:rPr>
          <w:lang w:val="fr-CA"/>
        </w:rPr>
        <w:t xml:space="preserve"> la </w:t>
      </w:r>
      <w:r w:rsidR="005E1CB2">
        <w:rPr>
          <w:lang w:val="fr-CA"/>
        </w:rPr>
        <w:t>législation</w:t>
      </w:r>
      <w:r w:rsidR="00650E29">
        <w:rPr>
          <w:lang w:val="fr-CA"/>
        </w:rPr>
        <w:t xml:space="preserve"> pour </w:t>
      </w:r>
      <w:r w:rsidR="008563E9">
        <w:rPr>
          <w:lang w:val="fr-CA"/>
        </w:rPr>
        <w:t>garantir</w:t>
      </w:r>
      <w:r w:rsidR="0023200D">
        <w:rPr>
          <w:lang w:val="fr-CA"/>
        </w:rPr>
        <w:t xml:space="preserve"> la sécurité nationale, l’ordre public, la moralité, </w:t>
      </w:r>
      <w:r w:rsidR="005E1CB2">
        <w:rPr>
          <w:lang w:val="fr-CA"/>
        </w:rPr>
        <w:t>la sécurité de la circulation routière</w:t>
      </w:r>
      <w:r w:rsidR="0023200D">
        <w:rPr>
          <w:lang w:val="fr-CA"/>
        </w:rPr>
        <w:t xml:space="preserve"> et la sécurité des participants ou prévenir la propagation d’une maladie infectieuse</w:t>
      </w:r>
      <w:r w:rsidR="0023200D">
        <w:rPr>
          <w:rStyle w:val="Appelnotedebasdep"/>
        </w:rPr>
        <w:footnoteReference w:id="15"/>
      </w:r>
      <w:r w:rsidR="0023200D">
        <w:rPr>
          <w:lang w:val="fr-CA"/>
        </w:rPr>
        <w:t>.</w:t>
      </w:r>
    </w:p>
    <w:p w:rsidR="008343C7" w:rsidRDefault="008343C7" w:rsidP="0039452D">
      <w:pPr>
        <w:pStyle w:val="ParNoG"/>
        <w:tabs>
          <w:tab w:val="clear" w:pos="1701"/>
        </w:tabs>
        <w:ind w:left="624"/>
        <w:rPr>
          <w:lang w:val="fr-CA"/>
        </w:rPr>
      </w:pPr>
      <w:r>
        <w:rPr>
          <w:lang w:val="fr-CA"/>
        </w:rPr>
        <w:t>Au Guatemala, une restriction du droit de réunion pacifique est possible dans certains cas définis dans la loi relative à l’ordre public, compte tenu des dispositions de l’article 21 du Pacte international relatif aux droits civils et politiques.</w:t>
      </w:r>
      <w:r w:rsidR="00F91FDB">
        <w:rPr>
          <w:lang w:val="fr-CA"/>
        </w:rPr>
        <w:t xml:space="preserve"> Afin de garantir la paix, la sécurité et le respect effectif des droits de l’homme, la loi guatémaltèque sur l’appui aux forces de</w:t>
      </w:r>
      <w:r w:rsidR="00E84E8C">
        <w:rPr>
          <w:lang w:val="fr-CA"/>
        </w:rPr>
        <w:t xml:space="preserve"> sécurité civile réglemente l</w:t>
      </w:r>
      <w:r w:rsidR="008A1AEC">
        <w:rPr>
          <w:lang w:val="fr-CA"/>
        </w:rPr>
        <w:t>a fourniture de soutien militaire</w:t>
      </w:r>
      <w:r w:rsidR="00E84E8C">
        <w:rPr>
          <w:lang w:val="fr-CA"/>
        </w:rPr>
        <w:t xml:space="preserve"> aux forces de sécurité civile pour prévenir et combattre le crime organisé et les délits mineurs</w:t>
      </w:r>
      <w:r w:rsidR="00445DEF">
        <w:rPr>
          <w:rStyle w:val="Appelnotedebasdep"/>
        </w:rPr>
        <w:footnoteReference w:id="16"/>
      </w:r>
      <w:r w:rsidR="00E84E8C">
        <w:rPr>
          <w:lang w:val="fr-CA"/>
        </w:rPr>
        <w:t xml:space="preserve">. En novembre 2012, le pays a adopté un </w:t>
      </w:r>
      <w:r w:rsidR="00202327">
        <w:rPr>
          <w:lang w:val="fr-CA"/>
        </w:rPr>
        <w:t>p</w:t>
      </w:r>
      <w:r w:rsidR="00E84E8C">
        <w:rPr>
          <w:lang w:val="fr-CA"/>
        </w:rPr>
        <w:t xml:space="preserve">rotocole sur les </w:t>
      </w:r>
      <w:r w:rsidR="00202327">
        <w:rPr>
          <w:lang w:val="fr-CA"/>
        </w:rPr>
        <w:t>procédures interinstitutionnelles pour</w:t>
      </w:r>
      <w:r w:rsidR="00E84E8C">
        <w:rPr>
          <w:lang w:val="fr-CA"/>
        </w:rPr>
        <w:t xml:space="preserve"> </w:t>
      </w:r>
      <w:r w:rsidR="00202327">
        <w:rPr>
          <w:lang w:val="fr-CA"/>
        </w:rPr>
        <w:t xml:space="preserve">l’appui de l’armée aux forces de sécurité civile, qui </w:t>
      </w:r>
      <w:r w:rsidR="00E84E8C">
        <w:rPr>
          <w:lang w:val="fr-CA"/>
        </w:rPr>
        <w:t>précis</w:t>
      </w:r>
      <w:r w:rsidR="00202327">
        <w:rPr>
          <w:lang w:val="fr-CA"/>
        </w:rPr>
        <w:t>e</w:t>
      </w:r>
      <w:r w:rsidR="00E84E8C">
        <w:rPr>
          <w:lang w:val="fr-CA"/>
        </w:rPr>
        <w:t xml:space="preserve"> le cadre juridique </w:t>
      </w:r>
      <w:r w:rsidR="00243194">
        <w:rPr>
          <w:lang w:val="fr-CA"/>
        </w:rPr>
        <w:t>de cette assistance et de la</w:t>
      </w:r>
      <w:r w:rsidR="00E84E8C">
        <w:rPr>
          <w:lang w:val="fr-CA"/>
        </w:rPr>
        <w:t xml:space="preserve"> coopération </w:t>
      </w:r>
      <w:r w:rsidR="00243194">
        <w:rPr>
          <w:lang w:val="fr-CA"/>
        </w:rPr>
        <w:t xml:space="preserve">et </w:t>
      </w:r>
      <w:r w:rsidR="00E84E8C">
        <w:rPr>
          <w:lang w:val="fr-CA"/>
        </w:rPr>
        <w:t>coordination entre les forces armées et les forces de sécurité civile guatémaltèques</w:t>
      </w:r>
      <w:r w:rsidR="00243194">
        <w:rPr>
          <w:rStyle w:val="Appelnotedebasdep"/>
        </w:rPr>
        <w:footnoteReference w:id="17"/>
      </w:r>
      <w:r w:rsidR="00E84E8C">
        <w:rPr>
          <w:lang w:val="fr-CA"/>
        </w:rPr>
        <w:t>.</w:t>
      </w:r>
    </w:p>
    <w:p w:rsidR="008A1AEC" w:rsidRPr="000C247D" w:rsidRDefault="008A1AEC" w:rsidP="000C247D">
      <w:pPr>
        <w:pStyle w:val="Style2"/>
        <w:ind w:left="615"/>
      </w:pPr>
      <w:bookmarkStart w:id="16" w:name="_Toc383772279"/>
      <w:bookmarkStart w:id="17" w:name="_Toc383772371"/>
      <w:bookmarkStart w:id="18" w:name="_Toc383772726"/>
      <w:r w:rsidRPr="000C247D">
        <w:t>Mesures efficaces et meilleures pratiques</w:t>
      </w:r>
      <w:bookmarkEnd w:id="16"/>
      <w:bookmarkEnd w:id="17"/>
      <w:bookmarkEnd w:id="18"/>
    </w:p>
    <w:p w:rsidR="008A1AEC" w:rsidRPr="008A1AEC" w:rsidRDefault="008A1AEC" w:rsidP="008A1AEC">
      <w:pPr>
        <w:pStyle w:val="ParNoG"/>
        <w:numPr>
          <w:ilvl w:val="0"/>
          <w:numId w:val="0"/>
        </w:numPr>
        <w:ind w:left="624"/>
        <w:rPr>
          <w:b/>
          <w:lang w:val="fr-CA"/>
        </w:rPr>
      </w:pPr>
      <w:r w:rsidRPr="008A1AEC">
        <w:rPr>
          <w:b/>
          <w:lang w:val="fr-CA"/>
        </w:rPr>
        <w:t>Notification et autorisation préalable</w:t>
      </w:r>
      <w:r>
        <w:rPr>
          <w:b/>
          <w:lang w:val="fr-CA"/>
        </w:rPr>
        <w:t>s</w:t>
      </w:r>
    </w:p>
    <w:p w:rsidR="008A1AEC" w:rsidRDefault="00077A05" w:rsidP="0039452D">
      <w:pPr>
        <w:pStyle w:val="ParNoG"/>
        <w:tabs>
          <w:tab w:val="clear" w:pos="1701"/>
        </w:tabs>
        <w:ind w:left="624"/>
        <w:rPr>
          <w:lang w:val="fr-CA"/>
        </w:rPr>
      </w:pPr>
      <w:r>
        <w:rPr>
          <w:lang w:val="fr-CA"/>
        </w:rPr>
        <w:t>Alors que c</w:t>
      </w:r>
      <w:r w:rsidR="008A1AEC">
        <w:rPr>
          <w:lang w:val="fr-CA"/>
        </w:rPr>
        <w:t xml:space="preserve">ertains </w:t>
      </w:r>
      <w:r w:rsidR="0039663E">
        <w:rPr>
          <w:lang w:val="fr-CA"/>
        </w:rPr>
        <w:t>pays</w:t>
      </w:r>
      <w:r w:rsidR="00847AAE">
        <w:rPr>
          <w:lang w:val="fr-CA"/>
        </w:rPr>
        <w:t xml:space="preserve"> exigent </w:t>
      </w:r>
      <w:r>
        <w:rPr>
          <w:lang w:val="fr-CA"/>
        </w:rPr>
        <w:t xml:space="preserve">une notification </w:t>
      </w:r>
      <w:r w:rsidR="00E82A3B">
        <w:rPr>
          <w:lang w:val="fr-CA"/>
        </w:rPr>
        <w:t>ou</w:t>
      </w:r>
      <w:r w:rsidR="00513EB1">
        <w:rPr>
          <w:lang w:val="fr-CA"/>
        </w:rPr>
        <w:t xml:space="preserve"> </w:t>
      </w:r>
      <w:r>
        <w:rPr>
          <w:lang w:val="fr-CA"/>
        </w:rPr>
        <w:t>autorisation préalable</w:t>
      </w:r>
      <w:r w:rsidR="00E82A3B">
        <w:rPr>
          <w:lang w:val="fr-CA"/>
        </w:rPr>
        <w:t xml:space="preserve"> pour</w:t>
      </w:r>
      <w:r>
        <w:rPr>
          <w:lang w:val="fr-CA"/>
        </w:rPr>
        <w:t xml:space="preserve"> l</w:t>
      </w:r>
      <w:r w:rsidR="00847AAE">
        <w:rPr>
          <w:lang w:val="fr-CA"/>
        </w:rPr>
        <w:t>es</w:t>
      </w:r>
      <w:r>
        <w:rPr>
          <w:lang w:val="fr-CA"/>
        </w:rPr>
        <w:t xml:space="preserve"> manifestations pacifiques, </w:t>
      </w:r>
      <w:r w:rsidR="00E82A3B">
        <w:rPr>
          <w:lang w:val="fr-CA"/>
        </w:rPr>
        <w:t>d’autres</w:t>
      </w:r>
      <w:r w:rsidR="00847AAE">
        <w:rPr>
          <w:lang w:val="fr-CA"/>
        </w:rPr>
        <w:t xml:space="preserve"> ne les soumettent à aucune condition</w:t>
      </w:r>
      <w:r w:rsidR="00445DEF">
        <w:rPr>
          <w:lang w:val="fr-CA"/>
        </w:rPr>
        <w:t xml:space="preserve"> de ce genre</w:t>
      </w:r>
      <w:r>
        <w:rPr>
          <w:lang w:val="fr-CA"/>
        </w:rPr>
        <w:t xml:space="preserve">. </w:t>
      </w:r>
      <w:r w:rsidR="00847AAE">
        <w:rPr>
          <w:lang w:val="fr-CA"/>
        </w:rPr>
        <w:t>Dans certains cas</w:t>
      </w:r>
      <w:r>
        <w:rPr>
          <w:lang w:val="fr-CA"/>
        </w:rPr>
        <w:t xml:space="preserve">, </w:t>
      </w:r>
      <w:r w:rsidR="00847AAE">
        <w:rPr>
          <w:lang w:val="fr-CA"/>
        </w:rPr>
        <w:t>la</w:t>
      </w:r>
      <w:r>
        <w:rPr>
          <w:lang w:val="fr-CA"/>
        </w:rPr>
        <w:t xml:space="preserve"> notification ou </w:t>
      </w:r>
      <w:r w:rsidR="00847AAE">
        <w:rPr>
          <w:lang w:val="fr-CA"/>
        </w:rPr>
        <w:t>l’</w:t>
      </w:r>
      <w:r>
        <w:rPr>
          <w:lang w:val="fr-CA"/>
        </w:rPr>
        <w:t xml:space="preserve">autorisation préalable n’est </w:t>
      </w:r>
      <w:r w:rsidR="00E82A3B">
        <w:rPr>
          <w:lang w:val="fr-CA"/>
        </w:rPr>
        <w:t>requise</w:t>
      </w:r>
      <w:r w:rsidR="00725BE0">
        <w:rPr>
          <w:lang w:val="fr-CA"/>
        </w:rPr>
        <w:t xml:space="preserve"> </w:t>
      </w:r>
      <w:r w:rsidR="0039663E">
        <w:rPr>
          <w:lang w:val="fr-CA"/>
        </w:rPr>
        <w:t xml:space="preserve">que </w:t>
      </w:r>
      <w:r w:rsidR="00847AAE">
        <w:rPr>
          <w:lang w:val="fr-CA"/>
        </w:rPr>
        <w:t>si</w:t>
      </w:r>
      <w:r w:rsidR="0039663E">
        <w:rPr>
          <w:lang w:val="fr-CA"/>
        </w:rPr>
        <w:t xml:space="preserve"> les organisateurs </w:t>
      </w:r>
      <w:r w:rsidR="00847AAE">
        <w:rPr>
          <w:lang w:val="fr-CA"/>
        </w:rPr>
        <w:t>ont l’intention d’utiliser</w:t>
      </w:r>
      <w:r w:rsidR="0039663E">
        <w:rPr>
          <w:lang w:val="fr-CA"/>
        </w:rPr>
        <w:t xml:space="preserve"> des voies ou espaces publics</w:t>
      </w:r>
      <w:r w:rsidR="00090A77">
        <w:rPr>
          <w:lang w:val="fr-CA"/>
        </w:rPr>
        <w:t xml:space="preserve">, ou que la manifestation </w:t>
      </w:r>
      <w:r w:rsidR="00725BE0">
        <w:rPr>
          <w:lang w:val="fr-CA"/>
        </w:rPr>
        <w:t>est susceptible de nécessiter des</w:t>
      </w:r>
      <w:r w:rsidR="00090A77">
        <w:rPr>
          <w:lang w:val="fr-CA"/>
        </w:rPr>
        <w:t xml:space="preserve"> installations spéciales telles que des tribunes ou des barrières.</w:t>
      </w:r>
    </w:p>
    <w:p w:rsidR="00725BE0" w:rsidRDefault="00D54C17" w:rsidP="0039452D">
      <w:pPr>
        <w:pStyle w:val="ParNoG"/>
        <w:tabs>
          <w:tab w:val="clear" w:pos="1701"/>
        </w:tabs>
        <w:ind w:left="624"/>
        <w:rPr>
          <w:lang w:val="fr-CA"/>
        </w:rPr>
      </w:pPr>
      <w:r>
        <w:rPr>
          <w:lang w:val="fr-CA"/>
        </w:rPr>
        <w:t>L</w:t>
      </w:r>
      <w:r w:rsidR="00725BE0">
        <w:rPr>
          <w:lang w:val="fr-CA"/>
        </w:rPr>
        <w:t xml:space="preserve">e traitement des manifestations pacifiques spontanées varie </w:t>
      </w:r>
      <w:r>
        <w:rPr>
          <w:lang w:val="fr-CA"/>
        </w:rPr>
        <w:t xml:space="preserve">également </w:t>
      </w:r>
      <w:r w:rsidR="00725BE0">
        <w:rPr>
          <w:lang w:val="fr-CA"/>
        </w:rPr>
        <w:t xml:space="preserve">d’un pays à l’autre. </w:t>
      </w:r>
      <w:r w:rsidR="00445DEF">
        <w:rPr>
          <w:lang w:val="fr-CA"/>
        </w:rPr>
        <w:t>Même p</w:t>
      </w:r>
      <w:r w:rsidR="00725BE0">
        <w:rPr>
          <w:lang w:val="fr-CA"/>
        </w:rPr>
        <w:t>armi ceux qui exigent une notification ou une autorisation préalable, certains les interdi</w:t>
      </w:r>
      <w:r w:rsidR="003A488C">
        <w:rPr>
          <w:lang w:val="fr-CA"/>
        </w:rPr>
        <w:t>sent</w:t>
      </w:r>
      <w:r w:rsidR="00725BE0">
        <w:rPr>
          <w:lang w:val="fr-CA"/>
        </w:rPr>
        <w:t xml:space="preserve"> </w:t>
      </w:r>
      <w:r w:rsidR="003001A7">
        <w:rPr>
          <w:lang w:val="fr-CA"/>
        </w:rPr>
        <w:t>et</w:t>
      </w:r>
      <w:r w:rsidR="00725BE0">
        <w:rPr>
          <w:lang w:val="fr-CA"/>
        </w:rPr>
        <w:t xml:space="preserve"> d’autres </w:t>
      </w:r>
      <w:r w:rsidR="00B165A9">
        <w:rPr>
          <w:lang w:val="fr-CA"/>
        </w:rPr>
        <w:t>les laissent se dérouler en dépit du fait qu’elles contreviennent aux obligations légales précitées.</w:t>
      </w:r>
    </w:p>
    <w:p w:rsidR="00C4429F" w:rsidRDefault="00C4429F" w:rsidP="0039452D">
      <w:pPr>
        <w:pStyle w:val="ParNoG"/>
        <w:tabs>
          <w:tab w:val="clear" w:pos="1701"/>
        </w:tabs>
        <w:ind w:left="624"/>
        <w:rPr>
          <w:lang w:val="fr-CA"/>
        </w:rPr>
      </w:pPr>
      <w:r>
        <w:rPr>
          <w:lang w:val="fr-CA"/>
        </w:rPr>
        <w:t xml:space="preserve">En Azerbaïdjan, la notification doit mentionner le </w:t>
      </w:r>
      <w:r w:rsidR="003A488C">
        <w:rPr>
          <w:lang w:val="fr-CA"/>
        </w:rPr>
        <w:t>titre</w:t>
      </w:r>
      <w:r>
        <w:rPr>
          <w:lang w:val="fr-CA"/>
        </w:rPr>
        <w:t>, l’objet, le lieu et la date de la manifestation, ainsi que le nombre approximatif de participants attendus et, s’il est prévu de défiler sur la voie publique, l’itinéraire proposé, y compris le point de départ, la distance et la destination, et les noms et coordonnées des organisateurs.</w:t>
      </w:r>
      <w:r w:rsidR="003A488C">
        <w:rPr>
          <w:lang w:val="fr-CA"/>
        </w:rPr>
        <w:t xml:space="preserve"> Les manifestations spontanées n’ont pas besoin d’être notifiées par écrit mais peuvent faire l’objet de restrictions ou être</w:t>
      </w:r>
      <w:r w:rsidR="003A488C" w:rsidRPr="00B55277">
        <w:rPr>
          <w:lang w:val="fr-CA"/>
        </w:rPr>
        <w:t xml:space="preserve"> </w:t>
      </w:r>
      <w:r w:rsidR="00B55277" w:rsidRPr="00B55277">
        <w:rPr>
          <w:rStyle w:val="Appelnotedebasdep"/>
          <w:vertAlign w:val="baseline"/>
        </w:rPr>
        <w:t>interrompues</w:t>
      </w:r>
      <w:r w:rsidR="002F2CEB">
        <w:rPr>
          <w:rStyle w:val="Appelnotedebasdep"/>
        </w:rPr>
        <w:footnoteReference w:id="18"/>
      </w:r>
      <w:r w:rsidR="002F2CEB">
        <w:rPr>
          <w:lang w:val="fr-CA"/>
        </w:rPr>
        <w:t>.</w:t>
      </w:r>
    </w:p>
    <w:p w:rsidR="002F2CEB" w:rsidRDefault="002F2CEB" w:rsidP="0039452D">
      <w:pPr>
        <w:pStyle w:val="ParNoG"/>
        <w:tabs>
          <w:tab w:val="clear" w:pos="1701"/>
        </w:tabs>
        <w:ind w:left="624"/>
        <w:rPr>
          <w:lang w:val="fr-CA"/>
        </w:rPr>
      </w:pPr>
      <w:r>
        <w:rPr>
          <w:lang w:val="fr-CA"/>
        </w:rPr>
        <w:t>En Estonie, la loi sur les réunions publiques</w:t>
      </w:r>
      <w:r w:rsidR="007713E1">
        <w:rPr>
          <w:lang w:val="fr-CA"/>
        </w:rPr>
        <w:t xml:space="preserve"> exige </w:t>
      </w:r>
      <w:r w:rsidR="005F3C29">
        <w:rPr>
          <w:lang w:val="fr-CA"/>
        </w:rPr>
        <w:t>que</w:t>
      </w:r>
      <w:r w:rsidR="007713E1">
        <w:rPr>
          <w:lang w:val="fr-CA"/>
        </w:rPr>
        <w:t xml:space="preserve"> toute </w:t>
      </w:r>
      <w:r w:rsidR="00B17C69">
        <w:rPr>
          <w:lang w:val="fr-CA"/>
        </w:rPr>
        <w:t>manifestation</w:t>
      </w:r>
      <w:r w:rsidR="007713E1">
        <w:rPr>
          <w:lang w:val="fr-CA"/>
        </w:rPr>
        <w:t xml:space="preserve"> nécess</w:t>
      </w:r>
      <w:r w:rsidR="005F3C29">
        <w:rPr>
          <w:lang w:val="fr-CA"/>
        </w:rPr>
        <w:t>it</w:t>
      </w:r>
      <w:r w:rsidR="00DD3DB3">
        <w:rPr>
          <w:lang w:val="fr-CA"/>
        </w:rPr>
        <w:t>ant</w:t>
      </w:r>
      <w:r w:rsidR="005F3C29">
        <w:rPr>
          <w:lang w:val="fr-CA"/>
        </w:rPr>
        <w:t xml:space="preserve"> un</w:t>
      </w:r>
      <w:r w:rsidR="007713E1">
        <w:rPr>
          <w:lang w:val="fr-CA"/>
        </w:rPr>
        <w:t xml:space="preserve"> </w:t>
      </w:r>
      <w:r w:rsidR="005F3C29">
        <w:rPr>
          <w:lang w:val="fr-CA"/>
        </w:rPr>
        <w:t>dé</w:t>
      </w:r>
      <w:r w:rsidR="00DD3DB3">
        <w:rPr>
          <w:lang w:val="fr-CA"/>
        </w:rPr>
        <w:t>tournement</w:t>
      </w:r>
      <w:r w:rsidR="005F3C29">
        <w:rPr>
          <w:lang w:val="fr-CA"/>
        </w:rPr>
        <w:t xml:space="preserve"> de </w:t>
      </w:r>
      <w:r w:rsidR="007713E1">
        <w:rPr>
          <w:lang w:val="fr-CA"/>
        </w:rPr>
        <w:t xml:space="preserve">la circulation, </w:t>
      </w:r>
      <w:r w:rsidR="005F3C29">
        <w:rPr>
          <w:lang w:val="fr-CA"/>
        </w:rPr>
        <w:t>l</w:t>
      </w:r>
      <w:r w:rsidR="00DD3DB3">
        <w:rPr>
          <w:lang w:val="fr-CA"/>
        </w:rPr>
        <w:t>e montage</w:t>
      </w:r>
      <w:r w:rsidR="007713E1">
        <w:rPr>
          <w:lang w:val="fr-CA"/>
        </w:rPr>
        <w:t xml:space="preserve"> </w:t>
      </w:r>
      <w:r w:rsidR="005F3C29">
        <w:rPr>
          <w:lang w:val="fr-CA"/>
        </w:rPr>
        <w:t>d</w:t>
      </w:r>
      <w:r w:rsidR="003B5762">
        <w:rPr>
          <w:lang w:val="fr-CA"/>
        </w:rPr>
        <w:t>e chapiteaux</w:t>
      </w:r>
      <w:r w:rsidR="007713E1">
        <w:rPr>
          <w:lang w:val="fr-CA"/>
        </w:rPr>
        <w:t xml:space="preserve">, </w:t>
      </w:r>
      <w:r w:rsidR="005F3C29">
        <w:rPr>
          <w:lang w:val="fr-CA"/>
        </w:rPr>
        <w:t>d’</w:t>
      </w:r>
      <w:r w:rsidR="00B17C69">
        <w:rPr>
          <w:lang w:val="fr-CA"/>
        </w:rPr>
        <w:t>estrade</w:t>
      </w:r>
      <w:r w:rsidR="003B5762">
        <w:rPr>
          <w:lang w:val="fr-CA"/>
        </w:rPr>
        <w:t>s</w:t>
      </w:r>
      <w:r w:rsidR="007713E1">
        <w:rPr>
          <w:lang w:val="fr-CA"/>
        </w:rPr>
        <w:t xml:space="preserve">, de gradins ou </w:t>
      </w:r>
      <w:r w:rsidR="005F3C29">
        <w:rPr>
          <w:lang w:val="fr-CA"/>
        </w:rPr>
        <w:t xml:space="preserve">de </w:t>
      </w:r>
      <w:r w:rsidR="007713E1">
        <w:rPr>
          <w:lang w:val="fr-CA"/>
        </w:rPr>
        <w:t xml:space="preserve">toute autre </w:t>
      </w:r>
      <w:r w:rsidR="005F3C29">
        <w:rPr>
          <w:lang w:val="fr-CA"/>
        </w:rPr>
        <w:t xml:space="preserve">structure </w:t>
      </w:r>
      <w:r w:rsidR="007713E1">
        <w:rPr>
          <w:lang w:val="fr-CA"/>
        </w:rPr>
        <w:t xml:space="preserve">de grande taille, ou </w:t>
      </w:r>
      <w:r w:rsidR="005F3C29">
        <w:rPr>
          <w:lang w:val="fr-CA"/>
        </w:rPr>
        <w:t>l</w:t>
      </w:r>
      <w:r w:rsidR="007713E1">
        <w:rPr>
          <w:lang w:val="fr-CA"/>
        </w:rPr>
        <w:t>’utilis</w:t>
      </w:r>
      <w:r w:rsidR="005F3C29">
        <w:rPr>
          <w:lang w:val="fr-CA"/>
        </w:rPr>
        <w:t>ation</w:t>
      </w:r>
      <w:r w:rsidR="007713E1">
        <w:rPr>
          <w:lang w:val="fr-CA"/>
        </w:rPr>
        <w:t xml:space="preserve"> d</w:t>
      </w:r>
      <w:r w:rsidR="005F3C29">
        <w:rPr>
          <w:lang w:val="fr-CA"/>
        </w:rPr>
        <w:t>e</w:t>
      </w:r>
      <w:r w:rsidR="007713E1">
        <w:rPr>
          <w:lang w:val="fr-CA"/>
        </w:rPr>
        <w:t xml:space="preserve"> matériel</w:t>
      </w:r>
      <w:r w:rsidR="005F3C29">
        <w:rPr>
          <w:lang w:val="fr-CA"/>
        </w:rPr>
        <w:t>s</w:t>
      </w:r>
      <w:r w:rsidR="007713E1">
        <w:rPr>
          <w:lang w:val="fr-CA"/>
        </w:rPr>
        <w:t xml:space="preserve"> de sonorisation ou d’éclairage</w:t>
      </w:r>
      <w:r w:rsidR="005F3C29">
        <w:rPr>
          <w:lang w:val="fr-CA"/>
        </w:rPr>
        <w:t xml:space="preserve"> soit </w:t>
      </w:r>
      <w:r w:rsidR="00B17C69">
        <w:rPr>
          <w:lang w:val="fr-CA"/>
        </w:rPr>
        <w:t>déclar</w:t>
      </w:r>
      <w:r w:rsidR="005F3C29">
        <w:rPr>
          <w:lang w:val="fr-CA"/>
        </w:rPr>
        <w:t xml:space="preserve">ée </w:t>
      </w:r>
      <w:r w:rsidR="00B17C69">
        <w:rPr>
          <w:lang w:val="fr-CA"/>
        </w:rPr>
        <w:t xml:space="preserve">à </w:t>
      </w:r>
      <w:r w:rsidR="005F3C29">
        <w:rPr>
          <w:lang w:val="fr-CA"/>
        </w:rPr>
        <w:t xml:space="preserve">la municipalité rurale ou urbaine concernée au moins quatre jours ouvrables avant </w:t>
      </w:r>
      <w:r w:rsidR="00B17C69">
        <w:rPr>
          <w:lang w:val="fr-CA"/>
        </w:rPr>
        <w:t>la date prévue</w:t>
      </w:r>
      <w:r w:rsidR="007713E1">
        <w:rPr>
          <w:lang w:val="fr-CA"/>
        </w:rPr>
        <w:t>.</w:t>
      </w:r>
      <w:r w:rsidR="005F3C29">
        <w:rPr>
          <w:lang w:val="fr-CA"/>
        </w:rPr>
        <w:t xml:space="preserve"> Toutes les autres réunions publiques doivent être </w:t>
      </w:r>
      <w:r w:rsidR="00B17C69">
        <w:rPr>
          <w:lang w:val="fr-CA"/>
        </w:rPr>
        <w:t>décla</w:t>
      </w:r>
      <w:r w:rsidR="005F3C29">
        <w:rPr>
          <w:lang w:val="fr-CA"/>
        </w:rPr>
        <w:t xml:space="preserve">rées </w:t>
      </w:r>
      <w:r w:rsidR="00B17C69">
        <w:rPr>
          <w:lang w:val="fr-CA"/>
        </w:rPr>
        <w:t>à</w:t>
      </w:r>
      <w:r w:rsidR="005F3C29">
        <w:rPr>
          <w:lang w:val="fr-CA"/>
        </w:rPr>
        <w:t xml:space="preserve"> la police au moins deux heures à l’avance. Aucune réunion publique n</w:t>
      </w:r>
      <w:r w:rsidR="0005654B">
        <w:rPr>
          <w:lang w:val="fr-CA"/>
        </w:rPr>
        <w:t xml:space="preserve">e peut se tenir à certains endroits, notamment </w:t>
      </w:r>
      <w:r w:rsidR="003D7757">
        <w:rPr>
          <w:lang w:val="fr-CA"/>
        </w:rPr>
        <w:t xml:space="preserve">aux </w:t>
      </w:r>
      <w:r w:rsidR="005F3C29">
        <w:rPr>
          <w:lang w:val="fr-CA"/>
        </w:rPr>
        <w:t>postes frontières</w:t>
      </w:r>
      <w:r w:rsidR="003D7757">
        <w:rPr>
          <w:lang w:val="fr-CA"/>
        </w:rPr>
        <w:t xml:space="preserve"> ou</w:t>
      </w:r>
      <w:r w:rsidR="005F3C29">
        <w:rPr>
          <w:lang w:val="fr-CA"/>
        </w:rPr>
        <w:t xml:space="preserve"> </w:t>
      </w:r>
      <w:r w:rsidR="0005654B">
        <w:rPr>
          <w:lang w:val="fr-CA"/>
        </w:rPr>
        <w:t xml:space="preserve">à moins de </w:t>
      </w:r>
      <w:r w:rsidR="00902523">
        <w:rPr>
          <w:lang w:val="fr-CA"/>
        </w:rPr>
        <w:t>300 mètres d</w:t>
      </w:r>
      <w:r w:rsidR="003D7757">
        <w:rPr>
          <w:lang w:val="fr-CA"/>
        </w:rPr>
        <w:t xml:space="preserve">’une </w:t>
      </w:r>
      <w:r w:rsidR="00902523">
        <w:rPr>
          <w:lang w:val="fr-CA"/>
        </w:rPr>
        <w:t xml:space="preserve">frontière, </w:t>
      </w:r>
      <w:r w:rsidR="0005654B">
        <w:rPr>
          <w:lang w:val="fr-CA"/>
        </w:rPr>
        <w:t xml:space="preserve">sur un </w:t>
      </w:r>
      <w:r w:rsidR="003D7757">
        <w:rPr>
          <w:lang w:val="fr-CA"/>
        </w:rPr>
        <w:t xml:space="preserve">site </w:t>
      </w:r>
      <w:r w:rsidR="0005654B">
        <w:rPr>
          <w:lang w:val="fr-CA"/>
        </w:rPr>
        <w:t xml:space="preserve">militaire ou à moins de 50 mètres d’un </w:t>
      </w:r>
      <w:r w:rsidR="003D7757">
        <w:rPr>
          <w:lang w:val="fr-CA"/>
        </w:rPr>
        <w:t>tel site</w:t>
      </w:r>
      <w:r w:rsidR="0005654B">
        <w:rPr>
          <w:lang w:val="fr-CA"/>
        </w:rPr>
        <w:t xml:space="preserve">, sur les </w:t>
      </w:r>
      <w:r w:rsidR="00902523">
        <w:rPr>
          <w:lang w:val="fr-CA"/>
        </w:rPr>
        <w:t>ponts</w:t>
      </w:r>
      <w:r w:rsidR="0005654B">
        <w:rPr>
          <w:lang w:val="fr-CA"/>
        </w:rPr>
        <w:t xml:space="preserve"> et</w:t>
      </w:r>
      <w:r w:rsidR="00902523">
        <w:rPr>
          <w:lang w:val="fr-CA"/>
        </w:rPr>
        <w:t xml:space="preserve"> voies ferrées, </w:t>
      </w:r>
      <w:r w:rsidR="0005654B">
        <w:rPr>
          <w:lang w:val="fr-CA"/>
        </w:rPr>
        <w:t xml:space="preserve">dans une mine, </w:t>
      </w:r>
      <w:r w:rsidR="00902523">
        <w:rPr>
          <w:lang w:val="fr-CA"/>
        </w:rPr>
        <w:t xml:space="preserve">sous les lignes électriques à haute tension, </w:t>
      </w:r>
      <w:r w:rsidR="0005654B">
        <w:rPr>
          <w:lang w:val="fr-CA"/>
        </w:rPr>
        <w:t xml:space="preserve">et </w:t>
      </w:r>
      <w:r w:rsidR="00902523">
        <w:rPr>
          <w:lang w:val="fr-CA"/>
        </w:rPr>
        <w:t xml:space="preserve">dans les zones de propagation de maladies infectieuses </w:t>
      </w:r>
      <w:r w:rsidR="0005654B">
        <w:rPr>
          <w:lang w:val="fr-CA"/>
        </w:rPr>
        <w:t>ou</w:t>
      </w:r>
      <w:r w:rsidR="00902523">
        <w:rPr>
          <w:lang w:val="fr-CA"/>
        </w:rPr>
        <w:t xml:space="preserve"> présentant des dangers pour les </w:t>
      </w:r>
      <w:r w:rsidR="009D2E9C">
        <w:rPr>
          <w:lang w:val="fr-CA"/>
        </w:rPr>
        <w:t>personnes</w:t>
      </w:r>
      <w:r w:rsidR="00902523">
        <w:rPr>
          <w:lang w:val="fr-CA"/>
        </w:rPr>
        <w:t>.</w:t>
      </w:r>
    </w:p>
    <w:p w:rsidR="00902523" w:rsidRDefault="00902523" w:rsidP="004711C3">
      <w:pPr>
        <w:pStyle w:val="ParNoG"/>
        <w:keepNext/>
        <w:keepLines/>
        <w:tabs>
          <w:tab w:val="clear" w:pos="1701"/>
        </w:tabs>
        <w:ind w:left="624"/>
        <w:rPr>
          <w:lang w:val="fr-CA"/>
        </w:rPr>
      </w:pPr>
      <w:r>
        <w:rPr>
          <w:lang w:val="fr-CA"/>
        </w:rPr>
        <w:t>En République démocratique du Congo</w:t>
      </w:r>
      <w:r w:rsidR="0002165B">
        <w:rPr>
          <w:lang w:val="fr-CA"/>
        </w:rPr>
        <w:t xml:space="preserve"> (RDC)</w:t>
      </w:r>
      <w:r>
        <w:rPr>
          <w:lang w:val="fr-CA"/>
        </w:rPr>
        <w:t xml:space="preserve">, </w:t>
      </w:r>
      <w:r w:rsidR="00DD3DB3">
        <w:rPr>
          <w:lang w:val="fr-CA"/>
        </w:rPr>
        <w:t xml:space="preserve">l’autorisation préalable des autorités administratives compétentes est requise pour </w:t>
      </w:r>
      <w:r>
        <w:rPr>
          <w:lang w:val="fr-CA"/>
        </w:rPr>
        <w:t>toutes les manifestations publiques</w:t>
      </w:r>
      <w:r w:rsidR="00DD3DB3">
        <w:rPr>
          <w:lang w:val="fr-CA"/>
        </w:rPr>
        <w:t xml:space="preserve">, </w:t>
      </w:r>
      <w:r w:rsidR="00202520">
        <w:rPr>
          <w:lang w:val="fr-CA"/>
        </w:rPr>
        <w:t xml:space="preserve">la raison avancée </w:t>
      </w:r>
      <w:r w:rsidR="003D7757">
        <w:rPr>
          <w:lang w:val="fr-CA"/>
        </w:rPr>
        <w:t>étant que l</w:t>
      </w:r>
      <w:r w:rsidR="00202520">
        <w:rPr>
          <w:lang w:val="fr-CA"/>
        </w:rPr>
        <w:t>es pouvoirs publics sont</w:t>
      </w:r>
      <w:r w:rsidR="003D7757">
        <w:rPr>
          <w:lang w:val="fr-CA"/>
        </w:rPr>
        <w:t xml:space="preserve"> tenu</w:t>
      </w:r>
      <w:r w:rsidR="00202520">
        <w:rPr>
          <w:lang w:val="fr-CA"/>
        </w:rPr>
        <w:t>s</w:t>
      </w:r>
      <w:r w:rsidR="003D7757">
        <w:rPr>
          <w:lang w:val="fr-CA"/>
        </w:rPr>
        <w:t xml:space="preserve"> d’assurer la sécurité des manifestants et l’ordre public.</w:t>
      </w:r>
      <w:r w:rsidR="0002165B">
        <w:rPr>
          <w:lang w:val="fr-CA"/>
        </w:rPr>
        <w:t xml:space="preserve"> La RDC a en outre indiqué que les manifestations spontanées, bien qu’illégales, jouissent également de la protection des pouvoirs publics aux fins de maintien de l’ordre public.</w:t>
      </w:r>
    </w:p>
    <w:p w:rsidR="0002165B" w:rsidRDefault="00D54C17" w:rsidP="00353C52">
      <w:pPr>
        <w:pStyle w:val="ParNoG"/>
        <w:tabs>
          <w:tab w:val="clear" w:pos="1701"/>
        </w:tabs>
        <w:ind w:left="624"/>
        <w:rPr>
          <w:lang w:val="fr-CA"/>
        </w:rPr>
      </w:pPr>
      <w:r w:rsidRPr="00353C52">
        <w:rPr>
          <w:lang w:val="fr-CA"/>
        </w:rPr>
        <w:t>En</w:t>
      </w:r>
      <w:r w:rsidR="008B7028" w:rsidRPr="00353C52">
        <w:rPr>
          <w:lang w:val="fr-CA"/>
        </w:rPr>
        <w:t xml:space="preserve"> République de Moldova, </w:t>
      </w:r>
      <w:r w:rsidR="00AE4E68" w:rsidRPr="00353C52">
        <w:rPr>
          <w:lang w:val="fr-CA"/>
        </w:rPr>
        <w:t xml:space="preserve">un régime de notification </w:t>
      </w:r>
      <w:r w:rsidR="005E314B" w:rsidRPr="00353C52">
        <w:rPr>
          <w:lang w:val="fr-CA"/>
        </w:rPr>
        <w:t>a été instauré en 2008</w:t>
      </w:r>
      <w:r w:rsidR="00C129DA" w:rsidRPr="00353C52">
        <w:rPr>
          <w:lang w:val="fr-CA"/>
        </w:rPr>
        <w:t xml:space="preserve"> à la place du régime d’autorisation</w:t>
      </w:r>
      <w:r w:rsidR="005E314B" w:rsidRPr="00353C52">
        <w:rPr>
          <w:lang w:val="fr-CA"/>
        </w:rPr>
        <w:t xml:space="preserve">, </w:t>
      </w:r>
      <w:r w:rsidR="00790F63">
        <w:rPr>
          <w:lang w:val="fr-CA"/>
        </w:rPr>
        <w:t xml:space="preserve">par </w:t>
      </w:r>
      <w:r w:rsidR="005E314B" w:rsidRPr="00353C52">
        <w:rPr>
          <w:lang w:val="fr-CA"/>
        </w:rPr>
        <w:t xml:space="preserve">suite </w:t>
      </w:r>
      <w:r w:rsidR="00790F63">
        <w:rPr>
          <w:lang w:val="fr-CA"/>
        </w:rPr>
        <w:t>d’</w:t>
      </w:r>
      <w:r w:rsidR="00C129DA">
        <w:rPr>
          <w:lang w:val="fr-CA"/>
        </w:rPr>
        <w:t>une réforme législative</w:t>
      </w:r>
      <w:r w:rsidR="007037C1" w:rsidRPr="00353C52">
        <w:rPr>
          <w:lang w:val="fr-CA"/>
        </w:rPr>
        <w:t xml:space="preserve">. </w:t>
      </w:r>
      <w:r w:rsidR="005E314B" w:rsidRPr="00353C52">
        <w:rPr>
          <w:lang w:val="fr-CA"/>
        </w:rPr>
        <w:t xml:space="preserve">La loi sur les rassemblements </w:t>
      </w:r>
      <w:r w:rsidR="00AA5E22" w:rsidRPr="00353C52">
        <w:rPr>
          <w:lang w:val="fr-CA"/>
        </w:rPr>
        <w:t xml:space="preserve">permet la tenue </w:t>
      </w:r>
      <w:r w:rsidR="005E314B" w:rsidRPr="00353C52">
        <w:rPr>
          <w:lang w:val="fr-CA"/>
        </w:rPr>
        <w:t>sans notification préalable</w:t>
      </w:r>
      <w:r w:rsidR="00AA5E22" w:rsidRPr="00353C52">
        <w:rPr>
          <w:lang w:val="fr-CA"/>
        </w:rPr>
        <w:t xml:space="preserve"> de toute réunion de moins de 50 personnes</w:t>
      </w:r>
      <w:r w:rsidR="005E314B" w:rsidRPr="00353C52">
        <w:rPr>
          <w:lang w:val="fr-CA"/>
        </w:rPr>
        <w:t>.</w:t>
      </w:r>
      <w:r w:rsidR="0052624B" w:rsidRPr="00353C52">
        <w:rPr>
          <w:lang w:val="fr-CA"/>
        </w:rPr>
        <w:t xml:space="preserve"> </w:t>
      </w:r>
      <w:r w:rsidR="006D78C5" w:rsidRPr="00353C52">
        <w:rPr>
          <w:lang w:val="fr-CA"/>
        </w:rPr>
        <w:t>Si le nombre de participants attendus dépasse ce chiffre, les organisateurs sont tenus d’avertir les</w:t>
      </w:r>
      <w:r w:rsidR="0052624B" w:rsidRPr="00353C52">
        <w:rPr>
          <w:lang w:val="fr-CA"/>
        </w:rPr>
        <w:t xml:space="preserve"> autorités locales cinq jours avant l</w:t>
      </w:r>
      <w:r w:rsidR="006D78C5" w:rsidRPr="00353C52">
        <w:rPr>
          <w:lang w:val="fr-CA"/>
        </w:rPr>
        <w:t>a réunion</w:t>
      </w:r>
      <w:r w:rsidR="0052624B" w:rsidRPr="00353C52">
        <w:rPr>
          <w:lang w:val="fr-CA"/>
        </w:rPr>
        <w:t xml:space="preserve"> afin d</w:t>
      </w:r>
      <w:r w:rsidR="00353C52" w:rsidRPr="00353C52">
        <w:rPr>
          <w:lang w:val="fr-CA"/>
        </w:rPr>
        <w:t xml:space="preserve">e faire en sorte qu’aucun rassemblement parallèle ne se tienne au même endroit. </w:t>
      </w:r>
      <w:r w:rsidR="00445DEF">
        <w:rPr>
          <w:lang w:val="fr-CA"/>
        </w:rPr>
        <w:t>L</w:t>
      </w:r>
      <w:r w:rsidR="009C35FD">
        <w:rPr>
          <w:lang w:val="fr-CA"/>
        </w:rPr>
        <w:t>e remplacement du</w:t>
      </w:r>
      <w:r w:rsidR="00353C52" w:rsidRPr="00353C52">
        <w:rPr>
          <w:lang w:val="fr-CA"/>
        </w:rPr>
        <w:t xml:space="preserve"> régime d’autorisation </w:t>
      </w:r>
      <w:r w:rsidR="009C35FD">
        <w:rPr>
          <w:lang w:val="fr-CA"/>
        </w:rPr>
        <w:t xml:space="preserve">par un </w:t>
      </w:r>
      <w:r w:rsidR="00353C52" w:rsidRPr="00353C52">
        <w:rPr>
          <w:lang w:val="fr-CA"/>
        </w:rPr>
        <w:t>régime de notification a conduit</w:t>
      </w:r>
      <w:r w:rsidR="00445DEF">
        <w:rPr>
          <w:lang w:val="fr-CA"/>
        </w:rPr>
        <w:t>, semble-t-il,</w:t>
      </w:r>
      <w:r w:rsidR="00353C52" w:rsidRPr="00353C52">
        <w:rPr>
          <w:lang w:val="fr-CA"/>
        </w:rPr>
        <w:t xml:space="preserve"> à un accroissement du nombre de réunions tenues et du nombre de personnes qui exercent leur droit de réunion pacifique.</w:t>
      </w:r>
    </w:p>
    <w:p w:rsidR="009C35FD" w:rsidRDefault="009C35FD" w:rsidP="00353C52">
      <w:pPr>
        <w:pStyle w:val="ParNoG"/>
        <w:tabs>
          <w:tab w:val="clear" w:pos="1701"/>
        </w:tabs>
        <w:ind w:left="624"/>
        <w:rPr>
          <w:lang w:val="fr-CA"/>
        </w:rPr>
      </w:pPr>
      <w:r>
        <w:rPr>
          <w:lang w:val="fr-CA"/>
        </w:rPr>
        <w:t>Au Qatar, la loi n</w:t>
      </w:r>
      <w:r>
        <w:rPr>
          <w:vertAlign w:val="superscript"/>
          <w:lang w:val="fr-CA"/>
        </w:rPr>
        <w:t>o</w:t>
      </w:r>
      <w:r>
        <w:rPr>
          <w:lang w:val="fr-CA"/>
        </w:rPr>
        <w:t xml:space="preserve"> 18/2004 sur les réunions et manifestations publiques </w:t>
      </w:r>
      <w:r w:rsidR="006A3805">
        <w:rPr>
          <w:lang w:val="fr-CA"/>
        </w:rPr>
        <w:t>stipule que les</w:t>
      </w:r>
      <w:r>
        <w:rPr>
          <w:lang w:val="fr-CA"/>
        </w:rPr>
        <w:t xml:space="preserve"> organisateurs de </w:t>
      </w:r>
      <w:r w:rsidR="002D1C40">
        <w:rPr>
          <w:lang w:val="fr-CA"/>
        </w:rPr>
        <w:t xml:space="preserve">réunions ou manifestations pacifiques </w:t>
      </w:r>
      <w:r w:rsidR="006A3805">
        <w:rPr>
          <w:lang w:val="fr-CA"/>
        </w:rPr>
        <w:t xml:space="preserve">doivent </w:t>
      </w:r>
      <w:r w:rsidR="00F0141B">
        <w:rPr>
          <w:lang w:val="fr-CA"/>
        </w:rPr>
        <w:t xml:space="preserve">obtenir </w:t>
      </w:r>
      <w:r>
        <w:rPr>
          <w:lang w:val="fr-CA"/>
        </w:rPr>
        <w:t xml:space="preserve">une autorisation </w:t>
      </w:r>
      <w:r w:rsidR="00F0141B">
        <w:rPr>
          <w:lang w:val="fr-CA"/>
        </w:rPr>
        <w:t xml:space="preserve">en en faisant la demande par écrit </w:t>
      </w:r>
      <w:r>
        <w:rPr>
          <w:lang w:val="fr-CA"/>
        </w:rPr>
        <w:t xml:space="preserve">au Directeur général de la sécurité publique sept jours avant la date </w:t>
      </w:r>
      <w:r w:rsidR="002D1C40">
        <w:rPr>
          <w:lang w:val="fr-CA"/>
        </w:rPr>
        <w:t>à laquelle l’événement</w:t>
      </w:r>
      <w:r w:rsidR="003B5762">
        <w:rPr>
          <w:lang w:val="fr-CA"/>
        </w:rPr>
        <w:t xml:space="preserve"> doit avoir lieu</w:t>
      </w:r>
      <w:r>
        <w:rPr>
          <w:lang w:val="fr-CA"/>
        </w:rPr>
        <w:t>.</w:t>
      </w:r>
      <w:r w:rsidR="002D1C40">
        <w:rPr>
          <w:lang w:val="fr-CA"/>
        </w:rPr>
        <w:t xml:space="preserve"> La demande est considérée comme rejetée si elle n’est pas approuvée </w:t>
      </w:r>
      <w:r w:rsidR="003B5762">
        <w:rPr>
          <w:lang w:val="fr-CA"/>
        </w:rPr>
        <w:t xml:space="preserve">au plus tard </w:t>
      </w:r>
      <w:r w:rsidR="002D1C40">
        <w:rPr>
          <w:lang w:val="fr-CA"/>
        </w:rPr>
        <w:t>trois jours avant cette date. Les organisateurs peuvent</w:t>
      </w:r>
      <w:r w:rsidR="00F0141B">
        <w:rPr>
          <w:lang w:val="fr-CA"/>
        </w:rPr>
        <w:t>, dans les 24 heures qui suivent,</w:t>
      </w:r>
      <w:r w:rsidR="002D1C40">
        <w:rPr>
          <w:lang w:val="fr-CA"/>
        </w:rPr>
        <w:t xml:space="preserve"> </w:t>
      </w:r>
      <w:r w:rsidR="00FD07B0">
        <w:rPr>
          <w:lang w:val="fr-CA"/>
        </w:rPr>
        <w:t>présenter au</w:t>
      </w:r>
      <w:r w:rsidR="003B5762">
        <w:rPr>
          <w:lang w:val="fr-CA"/>
        </w:rPr>
        <w:t xml:space="preserve"> Ministère de l’intérieur</w:t>
      </w:r>
      <w:r w:rsidR="00F0141B">
        <w:rPr>
          <w:lang w:val="fr-CA"/>
        </w:rPr>
        <w:t xml:space="preserve"> une requête </w:t>
      </w:r>
      <w:r w:rsidR="00FD07B0">
        <w:rPr>
          <w:lang w:val="fr-CA"/>
        </w:rPr>
        <w:t>en</w:t>
      </w:r>
      <w:r w:rsidR="00F0141B">
        <w:rPr>
          <w:lang w:val="fr-CA"/>
        </w:rPr>
        <w:t xml:space="preserve"> réexamen du refus</w:t>
      </w:r>
      <w:r w:rsidR="00C129DA">
        <w:rPr>
          <w:lang w:val="fr-CA"/>
        </w:rPr>
        <w:t xml:space="preserve">. Si le Ministère n’y donne pas suite, la </w:t>
      </w:r>
      <w:r w:rsidR="00F0141B">
        <w:rPr>
          <w:lang w:val="fr-CA"/>
        </w:rPr>
        <w:t>requête</w:t>
      </w:r>
      <w:r w:rsidR="00C129DA">
        <w:rPr>
          <w:lang w:val="fr-CA"/>
        </w:rPr>
        <w:t xml:space="preserve"> devrait être considérée comme rejetée. La Commission nationale des droits de l’homme du Qatar a toutefois déclaré avoir observé des manifestations pacifiques spontanées par des travailleurs </w:t>
      </w:r>
      <w:r w:rsidR="00F0141B">
        <w:rPr>
          <w:lang w:val="fr-CA"/>
        </w:rPr>
        <w:t xml:space="preserve">qui </w:t>
      </w:r>
      <w:r w:rsidR="0035569A">
        <w:rPr>
          <w:lang w:val="fr-CA"/>
        </w:rPr>
        <w:t>protesta</w:t>
      </w:r>
      <w:r w:rsidR="00F0141B">
        <w:rPr>
          <w:lang w:val="fr-CA"/>
        </w:rPr>
        <w:t>ie</w:t>
      </w:r>
      <w:r w:rsidR="0035569A">
        <w:rPr>
          <w:lang w:val="fr-CA"/>
        </w:rPr>
        <w:t xml:space="preserve">nt contre </w:t>
      </w:r>
      <w:r w:rsidR="00FE72DD">
        <w:rPr>
          <w:lang w:val="fr-CA"/>
        </w:rPr>
        <w:t xml:space="preserve">des retards de paiement de leurs salaires. Le Ministère de l’intérieur n’avait placé aucune restriction sur ces manifestations, se contentant de poster des agents à l’endroit où elles avaient lieu pour veiller </w:t>
      </w:r>
      <w:r w:rsidR="00F0141B">
        <w:rPr>
          <w:lang w:val="fr-CA"/>
        </w:rPr>
        <w:t>au maintien de la paix</w:t>
      </w:r>
      <w:r w:rsidR="00FE72DD">
        <w:rPr>
          <w:lang w:val="fr-CA"/>
        </w:rPr>
        <w:t xml:space="preserve">. Dans le Sultanat d’Oman, un service de coordination administrative entre les autorités publiques concernées est chargé de recevoir les demandes d’autorisation de </w:t>
      </w:r>
      <w:r w:rsidR="00F0141B">
        <w:rPr>
          <w:lang w:val="fr-CA"/>
        </w:rPr>
        <w:t>manifester</w:t>
      </w:r>
      <w:r w:rsidR="00FE72DD">
        <w:rPr>
          <w:lang w:val="fr-CA"/>
        </w:rPr>
        <w:t xml:space="preserve"> pacifique</w:t>
      </w:r>
      <w:r w:rsidR="00F0141B">
        <w:rPr>
          <w:lang w:val="fr-CA"/>
        </w:rPr>
        <w:t>ment</w:t>
      </w:r>
      <w:r w:rsidR="00FE72DD">
        <w:rPr>
          <w:lang w:val="fr-CA"/>
        </w:rPr>
        <w:t xml:space="preserve"> et fournit au chef du service des avis techniques sur ces demandes.</w:t>
      </w:r>
    </w:p>
    <w:p w:rsidR="00F0141B" w:rsidRDefault="00F0141B" w:rsidP="00353C52">
      <w:pPr>
        <w:pStyle w:val="ParNoG"/>
        <w:tabs>
          <w:tab w:val="clear" w:pos="1701"/>
        </w:tabs>
        <w:ind w:left="624"/>
        <w:rPr>
          <w:lang w:val="fr-CA"/>
        </w:rPr>
      </w:pPr>
      <w:r>
        <w:rPr>
          <w:lang w:val="fr-CA"/>
        </w:rPr>
        <w:t xml:space="preserve">En Serbie, la loi sur les réunions publiques </w:t>
      </w:r>
      <w:r w:rsidR="00B55277">
        <w:rPr>
          <w:lang w:val="fr-CA"/>
        </w:rPr>
        <w:t xml:space="preserve">impose </w:t>
      </w:r>
      <w:r w:rsidR="00111D3A">
        <w:rPr>
          <w:lang w:val="fr-CA"/>
        </w:rPr>
        <w:t>à l’</w:t>
      </w:r>
      <w:r w:rsidR="00B55277">
        <w:rPr>
          <w:lang w:val="fr-CA"/>
        </w:rPr>
        <w:t>organisateur d</w:t>
      </w:r>
      <w:r w:rsidR="00111D3A">
        <w:rPr>
          <w:lang w:val="fr-CA"/>
        </w:rPr>
        <w:t>’une réunion publique</w:t>
      </w:r>
      <w:r w:rsidR="00B55277">
        <w:rPr>
          <w:lang w:val="fr-CA"/>
        </w:rPr>
        <w:t xml:space="preserve"> </w:t>
      </w:r>
      <w:r w:rsidR="00FD07B0">
        <w:rPr>
          <w:lang w:val="fr-CA"/>
        </w:rPr>
        <w:t>d’introduire</w:t>
      </w:r>
      <w:r w:rsidR="00B55277">
        <w:rPr>
          <w:lang w:val="fr-CA"/>
        </w:rPr>
        <w:t xml:space="preserve"> une demande d’autorisation au</w:t>
      </w:r>
      <w:r w:rsidR="00FD07B0">
        <w:rPr>
          <w:lang w:val="fr-CA"/>
        </w:rPr>
        <w:t>près du</w:t>
      </w:r>
      <w:r w:rsidR="00B55277">
        <w:rPr>
          <w:lang w:val="fr-CA"/>
        </w:rPr>
        <w:t xml:space="preserve"> Ministère de l’intérieur au moins 48 heures avant </w:t>
      </w:r>
      <w:r w:rsidR="00272374">
        <w:rPr>
          <w:lang w:val="fr-CA"/>
        </w:rPr>
        <w:t>la réunion</w:t>
      </w:r>
      <w:r w:rsidR="00FD07B0">
        <w:rPr>
          <w:lang w:val="fr-CA"/>
        </w:rPr>
        <w:t xml:space="preserve"> </w:t>
      </w:r>
      <w:r w:rsidR="00B165A9">
        <w:rPr>
          <w:lang w:val="fr-CA"/>
        </w:rPr>
        <w:t xml:space="preserve">en question </w:t>
      </w:r>
      <w:r w:rsidR="00FD07B0">
        <w:rPr>
          <w:lang w:val="fr-CA"/>
        </w:rPr>
        <w:t xml:space="preserve">et au moins cinq jours </w:t>
      </w:r>
      <w:r w:rsidR="00272374">
        <w:rPr>
          <w:lang w:val="fr-CA"/>
        </w:rPr>
        <w:t xml:space="preserve">auparavant </w:t>
      </w:r>
      <w:r w:rsidR="00FD07B0">
        <w:rPr>
          <w:lang w:val="fr-CA"/>
        </w:rPr>
        <w:t xml:space="preserve">si </w:t>
      </w:r>
      <w:r w:rsidR="00272374">
        <w:rPr>
          <w:lang w:val="fr-CA"/>
        </w:rPr>
        <w:t xml:space="preserve">un </w:t>
      </w:r>
      <w:r w:rsidR="00FD07B0">
        <w:rPr>
          <w:lang w:val="fr-CA"/>
        </w:rPr>
        <w:t>déplace</w:t>
      </w:r>
      <w:r w:rsidR="00272374">
        <w:rPr>
          <w:lang w:val="fr-CA"/>
        </w:rPr>
        <w:t>ment, par exemple un défilé de</w:t>
      </w:r>
      <w:r w:rsidR="00CC6E3B">
        <w:rPr>
          <w:lang w:val="fr-CA"/>
        </w:rPr>
        <w:t>s</w:t>
      </w:r>
      <w:r w:rsidR="00272374">
        <w:rPr>
          <w:lang w:val="fr-CA"/>
        </w:rPr>
        <w:t xml:space="preserve"> </w:t>
      </w:r>
      <w:r w:rsidR="00CC6E3B">
        <w:rPr>
          <w:lang w:val="fr-CA"/>
        </w:rPr>
        <w:t>particip</w:t>
      </w:r>
      <w:r w:rsidR="00272374">
        <w:rPr>
          <w:lang w:val="fr-CA"/>
        </w:rPr>
        <w:t>ants, est prévu.</w:t>
      </w:r>
    </w:p>
    <w:p w:rsidR="00CC6E3B" w:rsidRDefault="0020192E" w:rsidP="00353C52">
      <w:pPr>
        <w:pStyle w:val="ParNoG"/>
        <w:tabs>
          <w:tab w:val="clear" w:pos="1701"/>
        </w:tabs>
        <w:ind w:left="624"/>
        <w:rPr>
          <w:lang w:val="fr-CA"/>
        </w:rPr>
      </w:pPr>
      <w:r>
        <w:rPr>
          <w:lang w:val="fr-CA"/>
        </w:rPr>
        <w:t>En Espagne,</w:t>
      </w:r>
      <w:r w:rsidR="00B80E67">
        <w:rPr>
          <w:lang w:val="fr-CA"/>
        </w:rPr>
        <w:t xml:space="preserve"> selon </w:t>
      </w:r>
      <w:r>
        <w:rPr>
          <w:lang w:val="fr-CA"/>
        </w:rPr>
        <w:t>l</w:t>
      </w:r>
      <w:r w:rsidR="00B80E67">
        <w:rPr>
          <w:lang w:val="fr-CA"/>
        </w:rPr>
        <w:t>a Constitution, aucune autorisation préalable n’est nécessaire pour la tenue d’une réunion pacifique</w:t>
      </w:r>
      <w:r w:rsidR="00B80E67">
        <w:rPr>
          <w:rStyle w:val="Appelnotedebasdep"/>
        </w:rPr>
        <w:footnoteReference w:id="19"/>
      </w:r>
      <w:r w:rsidR="00B80E67">
        <w:rPr>
          <w:lang w:val="fr-CA"/>
        </w:rPr>
        <w:t xml:space="preserve">. La loi organique 9/1983 </w:t>
      </w:r>
      <w:r w:rsidR="006354A9">
        <w:rPr>
          <w:lang w:val="fr-CA"/>
        </w:rPr>
        <w:t xml:space="preserve">régit les rassemblements et manifestations </w:t>
      </w:r>
      <w:r>
        <w:rPr>
          <w:lang w:val="fr-CA"/>
        </w:rPr>
        <w:t>sur la voie publique, dont les autorités publiques compétentes doivent être informées par écrit au moins 10 jours à l’avance, sauf urgence, auquel cas le</w:t>
      </w:r>
      <w:r w:rsidR="00E8188D">
        <w:rPr>
          <w:lang w:val="fr-CA"/>
        </w:rPr>
        <w:t xml:space="preserve"> préavis minimal peut être de</w:t>
      </w:r>
      <w:r>
        <w:rPr>
          <w:lang w:val="fr-CA"/>
        </w:rPr>
        <w:t xml:space="preserve"> 24 heures.</w:t>
      </w:r>
      <w:r w:rsidR="00E8188D">
        <w:rPr>
          <w:lang w:val="fr-CA"/>
        </w:rPr>
        <w:t xml:space="preserve"> Les autorités peuvent interdire la tenue </w:t>
      </w:r>
      <w:r w:rsidR="00285A0A">
        <w:rPr>
          <w:lang w:val="fr-CA"/>
        </w:rPr>
        <w:t>d’un</w:t>
      </w:r>
      <w:r w:rsidR="00D62E07">
        <w:rPr>
          <w:lang w:val="fr-CA"/>
        </w:rPr>
        <w:t>e</w:t>
      </w:r>
      <w:r w:rsidR="00285A0A">
        <w:rPr>
          <w:lang w:val="fr-CA"/>
        </w:rPr>
        <w:t xml:space="preserve"> </w:t>
      </w:r>
      <w:r w:rsidR="00D62E07">
        <w:rPr>
          <w:lang w:val="fr-CA"/>
        </w:rPr>
        <w:t>manifestation</w:t>
      </w:r>
      <w:r w:rsidR="00285A0A">
        <w:rPr>
          <w:lang w:val="fr-CA"/>
        </w:rPr>
        <w:t xml:space="preserve"> </w:t>
      </w:r>
      <w:r w:rsidR="00E8188D">
        <w:rPr>
          <w:lang w:val="fr-CA"/>
        </w:rPr>
        <w:t>ou proposer d</w:t>
      </w:r>
      <w:r w:rsidR="00285A0A">
        <w:rPr>
          <w:lang w:val="fr-CA"/>
        </w:rPr>
        <w:t>’en</w:t>
      </w:r>
      <w:r w:rsidR="00E8188D">
        <w:rPr>
          <w:lang w:val="fr-CA"/>
        </w:rPr>
        <w:t xml:space="preserve"> modifi</w:t>
      </w:r>
      <w:r w:rsidR="00285A0A">
        <w:rPr>
          <w:lang w:val="fr-CA"/>
        </w:rPr>
        <w:t>er</w:t>
      </w:r>
      <w:r w:rsidR="00E8188D">
        <w:rPr>
          <w:lang w:val="fr-CA"/>
        </w:rPr>
        <w:t xml:space="preserve"> l’itinéraire ou l’horaire si elles estiment qu</w:t>
      </w:r>
      <w:r w:rsidR="00285A0A">
        <w:rPr>
          <w:lang w:val="fr-CA"/>
        </w:rPr>
        <w:t>’</w:t>
      </w:r>
      <w:r w:rsidR="00D62E07">
        <w:rPr>
          <w:lang w:val="fr-CA"/>
        </w:rPr>
        <w:t>elle</w:t>
      </w:r>
      <w:r w:rsidR="00285A0A">
        <w:rPr>
          <w:lang w:val="fr-CA"/>
        </w:rPr>
        <w:t xml:space="preserve"> risque de troubler</w:t>
      </w:r>
      <w:r w:rsidR="00E8188D">
        <w:rPr>
          <w:lang w:val="fr-CA"/>
        </w:rPr>
        <w:t xml:space="preserve"> l’ordre public ou de </w:t>
      </w:r>
      <w:r w:rsidR="00285A0A">
        <w:rPr>
          <w:lang w:val="fr-CA"/>
        </w:rPr>
        <w:t>présenter un danger pour l</w:t>
      </w:r>
      <w:r w:rsidR="00E8188D">
        <w:rPr>
          <w:lang w:val="fr-CA"/>
        </w:rPr>
        <w:t xml:space="preserve">es personnes </w:t>
      </w:r>
      <w:r w:rsidR="00285A0A">
        <w:rPr>
          <w:lang w:val="fr-CA"/>
        </w:rPr>
        <w:t xml:space="preserve">ou les biens. La décision des </w:t>
      </w:r>
      <w:r w:rsidR="00974F2B">
        <w:rPr>
          <w:lang w:val="fr-CA"/>
        </w:rPr>
        <w:t>pouvoir</w:t>
      </w:r>
      <w:r w:rsidR="00285A0A">
        <w:rPr>
          <w:lang w:val="fr-CA"/>
        </w:rPr>
        <w:t>s publi</w:t>
      </w:r>
      <w:r w:rsidR="00974F2B">
        <w:rPr>
          <w:lang w:val="fr-CA"/>
        </w:rPr>
        <w:t>c</w:t>
      </w:r>
      <w:r w:rsidR="00285A0A">
        <w:rPr>
          <w:lang w:val="fr-CA"/>
        </w:rPr>
        <w:t>s</w:t>
      </w:r>
      <w:r w:rsidR="00974F2B">
        <w:rPr>
          <w:lang w:val="fr-CA"/>
        </w:rPr>
        <w:t xml:space="preserve"> est susceptible d’appel devant un organe administratif dans un délai de 48 heures, en présence de toutes les parties et avant la date de la </w:t>
      </w:r>
      <w:r w:rsidR="00D62E07">
        <w:rPr>
          <w:lang w:val="fr-CA"/>
        </w:rPr>
        <w:t>manifestat</w:t>
      </w:r>
      <w:r w:rsidR="00974F2B">
        <w:rPr>
          <w:lang w:val="fr-CA"/>
        </w:rPr>
        <w:t>ion</w:t>
      </w:r>
      <w:r w:rsidR="00C0137F">
        <w:rPr>
          <w:lang w:val="fr-CA"/>
        </w:rPr>
        <w:t xml:space="preserve"> envisagée</w:t>
      </w:r>
      <w:r w:rsidR="00974F2B">
        <w:rPr>
          <w:lang w:val="fr-CA"/>
        </w:rPr>
        <w:t>. Le jugement du tribunal administratif est susceptible d’appel devant la Cour constitutionnelle.</w:t>
      </w:r>
    </w:p>
    <w:p w:rsidR="00D62E07" w:rsidRDefault="00227A72" w:rsidP="00C0137F">
      <w:pPr>
        <w:pStyle w:val="ParNoG"/>
        <w:tabs>
          <w:tab w:val="clear" w:pos="1701"/>
        </w:tabs>
        <w:ind w:left="624"/>
        <w:rPr>
          <w:lang w:val="fr-CA"/>
        </w:rPr>
      </w:pPr>
      <w:r>
        <w:rPr>
          <w:lang w:val="fr-CA"/>
        </w:rPr>
        <w:t xml:space="preserve">En Suisse, </w:t>
      </w:r>
      <w:r w:rsidR="00C0137F" w:rsidRPr="00C0137F">
        <w:rPr>
          <w:lang w:val="fr-CA"/>
        </w:rPr>
        <w:t>le droit d’utiliser le domaine public pour manifester</w:t>
      </w:r>
      <w:r>
        <w:rPr>
          <w:lang w:val="fr-CA"/>
        </w:rPr>
        <w:t xml:space="preserve"> découle d</w:t>
      </w:r>
      <w:r w:rsidR="00D17170">
        <w:rPr>
          <w:lang w:val="fr-CA"/>
        </w:rPr>
        <w:t>u</w:t>
      </w:r>
      <w:r w:rsidRPr="00C0137F">
        <w:rPr>
          <w:lang w:val="fr-CA"/>
        </w:rPr>
        <w:t xml:space="preserve"> droit </w:t>
      </w:r>
      <w:r>
        <w:rPr>
          <w:lang w:val="fr-CA"/>
        </w:rPr>
        <w:t xml:space="preserve">à </w:t>
      </w:r>
      <w:r w:rsidRPr="00C0137F">
        <w:rPr>
          <w:lang w:val="fr-CA"/>
        </w:rPr>
        <w:t xml:space="preserve">la liberté d’expression et </w:t>
      </w:r>
      <w:r w:rsidR="00D17170">
        <w:rPr>
          <w:lang w:val="fr-CA"/>
        </w:rPr>
        <w:t xml:space="preserve">du droit </w:t>
      </w:r>
      <w:r>
        <w:rPr>
          <w:lang w:val="fr-CA"/>
        </w:rPr>
        <w:t xml:space="preserve">à </w:t>
      </w:r>
      <w:r w:rsidRPr="00C0137F">
        <w:rPr>
          <w:lang w:val="fr-CA"/>
        </w:rPr>
        <w:t>la liberté de réunion</w:t>
      </w:r>
      <w:r>
        <w:rPr>
          <w:lang w:val="fr-CA"/>
        </w:rPr>
        <w:t>,</w:t>
      </w:r>
      <w:r w:rsidRPr="00C0137F">
        <w:rPr>
          <w:lang w:val="fr-CA"/>
        </w:rPr>
        <w:t xml:space="preserve"> </w:t>
      </w:r>
      <w:r>
        <w:rPr>
          <w:lang w:val="fr-CA"/>
        </w:rPr>
        <w:t>qui sont protégés par la Constitution</w:t>
      </w:r>
      <w:r w:rsidR="003B2641">
        <w:rPr>
          <w:rStyle w:val="Appelnotedebasdep"/>
        </w:rPr>
        <w:footnoteReference w:id="20"/>
      </w:r>
      <w:r w:rsidR="00C0137F" w:rsidRPr="00C0137F">
        <w:rPr>
          <w:lang w:val="fr-CA"/>
        </w:rPr>
        <w:t xml:space="preserve">. L’État peut toutefois, moyennant une base légale, soumettre les manifestations au régime de l’autorisation, afin de coordonner l’utilisation du domaine public et de garantir la sécurité publique. </w:t>
      </w:r>
      <w:r w:rsidR="00D17170">
        <w:rPr>
          <w:lang w:val="fr-CA"/>
        </w:rPr>
        <w:t>Dans les cantons de Berne, Genève et Graubünden, une autorisation préalable est nécessaire pour organiser une manifestation. Toutefois, cette procédure fonctionne en pratique comme un système de notification car les manifestations ne sont presque jamais interdites. Les manifestations spontanées ne sont pas soumises à autorisation préalable</w:t>
      </w:r>
      <w:r w:rsidR="00296525">
        <w:rPr>
          <w:lang w:val="fr-CA"/>
        </w:rPr>
        <w:t xml:space="preserve">. Au cas où les autorités compétentes refuseraient </w:t>
      </w:r>
      <w:r w:rsidR="00C0137F" w:rsidRPr="00C0137F">
        <w:rPr>
          <w:lang w:val="fr-CA"/>
        </w:rPr>
        <w:t>d’autoris</w:t>
      </w:r>
      <w:r w:rsidR="00296525">
        <w:rPr>
          <w:lang w:val="fr-CA"/>
        </w:rPr>
        <w:t>er</w:t>
      </w:r>
      <w:r w:rsidR="00C0137F" w:rsidRPr="00C0137F">
        <w:rPr>
          <w:lang w:val="fr-CA"/>
        </w:rPr>
        <w:t xml:space="preserve"> une manifestation</w:t>
      </w:r>
      <w:r w:rsidR="00296525">
        <w:rPr>
          <w:lang w:val="fr-CA"/>
        </w:rPr>
        <w:t xml:space="preserve"> pacifique,</w:t>
      </w:r>
      <w:r w:rsidR="00C0137F" w:rsidRPr="00C0137F">
        <w:rPr>
          <w:lang w:val="fr-CA"/>
        </w:rPr>
        <w:t xml:space="preserve"> </w:t>
      </w:r>
      <w:r w:rsidR="00296525">
        <w:rPr>
          <w:lang w:val="fr-CA"/>
        </w:rPr>
        <w:t xml:space="preserve">il est possible de </w:t>
      </w:r>
      <w:r w:rsidR="00DC7F6A">
        <w:rPr>
          <w:lang w:val="fr-CA"/>
        </w:rPr>
        <w:t>contester</w:t>
      </w:r>
      <w:r w:rsidR="00296525">
        <w:rPr>
          <w:lang w:val="fr-CA"/>
        </w:rPr>
        <w:t xml:space="preserve"> l</w:t>
      </w:r>
      <w:r w:rsidR="00C0137F" w:rsidRPr="00C0137F">
        <w:rPr>
          <w:lang w:val="fr-CA"/>
        </w:rPr>
        <w:t>a décision en première instance au niveau communal</w:t>
      </w:r>
      <w:r w:rsidR="00786D66">
        <w:rPr>
          <w:lang w:val="fr-CA"/>
        </w:rPr>
        <w:t>; l</w:t>
      </w:r>
      <w:r w:rsidR="00C0137F" w:rsidRPr="00C0137F">
        <w:rPr>
          <w:lang w:val="fr-CA"/>
        </w:rPr>
        <w:t xml:space="preserve">a dernière instance nationale </w:t>
      </w:r>
      <w:r w:rsidR="00296525">
        <w:rPr>
          <w:lang w:val="fr-CA"/>
        </w:rPr>
        <w:t>po</w:t>
      </w:r>
      <w:r w:rsidR="00786D66">
        <w:rPr>
          <w:lang w:val="fr-CA"/>
        </w:rPr>
        <w:t>uvant être saisie de l’appel est le Tribunal fédéral</w:t>
      </w:r>
      <w:r w:rsidR="00296525">
        <w:rPr>
          <w:lang w:val="fr-CA"/>
        </w:rPr>
        <w:t>.</w:t>
      </w:r>
    </w:p>
    <w:p w:rsidR="00296525" w:rsidRDefault="00786D66" w:rsidP="00C0137F">
      <w:pPr>
        <w:pStyle w:val="ParNoG"/>
        <w:tabs>
          <w:tab w:val="clear" w:pos="1701"/>
        </w:tabs>
        <w:ind w:left="624"/>
        <w:rPr>
          <w:lang w:val="fr-CA"/>
        </w:rPr>
      </w:pPr>
      <w:r>
        <w:rPr>
          <w:lang w:val="fr-CA"/>
        </w:rPr>
        <w:t xml:space="preserve">Pour le Secrétariat du Commonwealth, </w:t>
      </w:r>
      <w:r w:rsidR="003B2641">
        <w:rPr>
          <w:lang w:val="fr-CA"/>
        </w:rPr>
        <w:t xml:space="preserve">il est nécessaire d’avertir </w:t>
      </w:r>
      <w:r>
        <w:rPr>
          <w:lang w:val="fr-CA"/>
        </w:rPr>
        <w:t xml:space="preserve">les autorités </w:t>
      </w:r>
      <w:r w:rsidR="003B2641">
        <w:rPr>
          <w:lang w:val="fr-CA"/>
        </w:rPr>
        <w:t>de l</w:t>
      </w:r>
      <w:r w:rsidR="005905E8">
        <w:rPr>
          <w:lang w:val="fr-CA"/>
        </w:rPr>
        <w:t>’intention</w:t>
      </w:r>
      <w:r w:rsidR="003B2641">
        <w:rPr>
          <w:lang w:val="fr-CA"/>
        </w:rPr>
        <w:t xml:space="preserve"> d</w:t>
      </w:r>
      <w:r w:rsidR="005905E8">
        <w:rPr>
          <w:lang w:val="fr-CA"/>
        </w:rPr>
        <w:t xml:space="preserve">e tenir </w:t>
      </w:r>
      <w:r w:rsidR="003B2641">
        <w:rPr>
          <w:lang w:val="fr-CA"/>
        </w:rPr>
        <w:t>une</w:t>
      </w:r>
      <w:r w:rsidR="005905E8">
        <w:rPr>
          <w:lang w:val="fr-CA"/>
        </w:rPr>
        <w:t xml:space="preserve"> manifestation à moins que les circonstances</w:t>
      </w:r>
      <w:r w:rsidR="002D4BD0">
        <w:rPr>
          <w:lang w:val="fr-CA"/>
        </w:rPr>
        <w:t xml:space="preserve"> </w:t>
      </w:r>
      <w:r w:rsidR="006F0114">
        <w:rPr>
          <w:lang w:val="fr-CA"/>
        </w:rPr>
        <w:t>n</w:t>
      </w:r>
      <w:r w:rsidR="00D5427E">
        <w:rPr>
          <w:lang w:val="fr-CA"/>
        </w:rPr>
        <w:t>e le permettent pas</w:t>
      </w:r>
      <w:r w:rsidR="002D4BD0">
        <w:rPr>
          <w:lang w:val="fr-CA"/>
        </w:rPr>
        <w:t>;</w:t>
      </w:r>
      <w:r w:rsidR="005905E8">
        <w:rPr>
          <w:lang w:val="fr-CA"/>
        </w:rPr>
        <w:t xml:space="preserve"> </w:t>
      </w:r>
      <w:r w:rsidR="002D4BD0">
        <w:rPr>
          <w:lang w:val="fr-CA"/>
        </w:rPr>
        <w:t xml:space="preserve">les autorités ne sont pas </w:t>
      </w:r>
      <w:r w:rsidR="00F12173">
        <w:rPr>
          <w:lang w:val="fr-CA"/>
        </w:rPr>
        <w:t>habilitées à interrompre une manifestation</w:t>
      </w:r>
      <w:r w:rsidR="002D4BD0">
        <w:rPr>
          <w:lang w:val="fr-CA"/>
        </w:rPr>
        <w:t xml:space="preserve"> </w:t>
      </w:r>
      <w:r w:rsidR="00F12173">
        <w:rPr>
          <w:lang w:val="fr-CA"/>
        </w:rPr>
        <w:t xml:space="preserve">mais ont le droit de stipuler des conditions raisonnables destinées à prévenir les éventuels actes de violence; l’interdiction </w:t>
      </w:r>
      <w:r w:rsidR="00C402D5">
        <w:rPr>
          <w:lang w:val="fr-CA"/>
        </w:rPr>
        <w:t xml:space="preserve">ne doit </w:t>
      </w:r>
      <w:r w:rsidR="001021E3">
        <w:rPr>
          <w:lang w:val="fr-CA"/>
        </w:rPr>
        <w:t>s’utiliser qu’en derni</w:t>
      </w:r>
      <w:r w:rsidR="00E35AE2">
        <w:rPr>
          <w:lang w:val="fr-CA"/>
        </w:rPr>
        <w:t>ère extrémité</w:t>
      </w:r>
      <w:r w:rsidR="001021E3">
        <w:rPr>
          <w:lang w:val="fr-CA"/>
        </w:rPr>
        <w:t>,</w:t>
      </w:r>
      <w:r w:rsidR="00C402D5">
        <w:rPr>
          <w:lang w:val="fr-CA"/>
        </w:rPr>
        <w:t xml:space="preserve"> </w:t>
      </w:r>
      <w:r w:rsidR="00E35AE2">
        <w:rPr>
          <w:lang w:val="fr-CA"/>
        </w:rPr>
        <w:t>lorsqu</w:t>
      </w:r>
      <w:r w:rsidR="00087B65">
        <w:rPr>
          <w:lang w:val="fr-CA"/>
        </w:rPr>
        <w:t>’une</w:t>
      </w:r>
      <w:r w:rsidR="00C402D5">
        <w:rPr>
          <w:lang w:val="fr-CA"/>
        </w:rPr>
        <w:t xml:space="preserve"> manifestation</w:t>
      </w:r>
      <w:r w:rsidR="008544E5">
        <w:rPr>
          <w:lang w:val="fr-CA"/>
        </w:rPr>
        <w:t xml:space="preserve"> envisagée </w:t>
      </w:r>
      <w:r w:rsidR="00087B65">
        <w:rPr>
          <w:lang w:val="fr-CA"/>
        </w:rPr>
        <w:t>fait craindre de réelles possibilités de violence</w:t>
      </w:r>
      <w:r w:rsidR="004A06EF">
        <w:rPr>
          <w:lang w:val="fr-CA"/>
        </w:rPr>
        <w:t xml:space="preserve">; un recours juridique contre les décisions des autorités doit être disponible; et les autorités doivent mettre les organisateurs au courant des </w:t>
      </w:r>
      <w:r w:rsidR="0074106D">
        <w:rPr>
          <w:lang w:val="fr-CA"/>
        </w:rPr>
        <w:t xml:space="preserve">règles </w:t>
      </w:r>
      <w:r w:rsidR="004A06EF">
        <w:rPr>
          <w:lang w:val="fr-CA"/>
        </w:rPr>
        <w:t xml:space="preserve">à respecter lors de la manifestation et de leur responsabilité </w:t>
      </w:r>
      <w:r w:rsidR="0013468E">
        <w:rPr>
          <w:lang w:val="fr-CA"/>
        </w:rPr>
        <w:t xml:space="preserve">pour tout </w:t>
      </w:r>
      <w:r w:rsidR="00B61687">
        <w:rPr>
          <w:lang w:val="fr-CA"/>
        </w:rPr>
        <w:t>préjudic</w:t>
      </w:r>
      <w:r w:rsidR="0013468E">
        <w:rPr>
          <w:lang w:val="fr-CA"/>
        </w:rPr>
        <w:t xml:space="preserve">e </w:t>
      </w:r>
      <w:r w:rsidR="004A06EF">
        <w:rPr>
          <w:lang w:val="fr-CA"/>
        </w:rPr>
        <w:t>causé</w:t>
      </w:r>
      <w:r w:rsidR="003B2641">
        <w:rPr>
          <w:rStyle w:val="Appelnotedebasdep"/>
        </w:rPr>
        <w:footnoteReference w:id="21"/>
      </w:r>
      <w:r w:rsidR="003B2641">
        <w:rPr>
          <w:lang w:val="fr-CA"/>
        </w:rPr>
        <w:t>.</w:t>
      </w:r>
    </w:p>
    <w:p w:rsidR="004A06EF" w:rsidRPr="008544E5" w:rsidRDefault="004A06EF" w:rsidP="00AC5A84">
      <w:pPr>
        <w:pStyle w:val="ParNoG"/>
        <w:tabs>
          <w:tab w:val="clear" w:pos="1701"/>
        </w:tabs>
        <w:ind w:left="624"/>
        <w:rPr>
          <w:lang w:val="fr-CA"/>
        </w:rPr>
      </w:pPr>
      <w:r>
        <w:rPr>
          <w:lang w:val="fr-CA"/>
        </w:rPr>
        <w:t xml:space="preserve">La Cour européenne des droits de l’homme </w:t>
      </w:r>
      <w:r w:rsidR="00B61687">
        <w:rPr>
          <w:lang w:val="fr-CA"/>
        </w:rPr>
        <w:t xml:space="preserve">a </w:t>
      </w:r>
      <w:r w:rsidR="00AC5A84">
        <w:rPr>
          <w:lang w:val="fr-CA"/>
        </w:rPr>
        <w:t>plac</w:t>
      </w:r>
      <w:r w:rsidR="00B61687">
        <w:rPr>
          <w:lang w:val="fr-CA"/>
        </w:rPr>
        <w:t>é</w:t>
      </w:r>
      <w:r w:rsidR="00AC5A84">
        <w:rPr>
          <w:lang w:val="fr-CA"/>
        </w:rPr>
        <w:t xml:space="preserve"> des limites sur la dispersion de</w:t>
      </w:r>
      <w:r w:rsidR="005E3A85">
        <w:rPr>
          <w:lang w:val="fr-CA"/>
        </w:rPr>
        <w:t>s</w:t>
      </w:r>
      <w:r w:rsidR="00AC5A84">
        <w:rPr>
          <w:lang w:val="fr-CA"/>
        </w:rPr>
        <w:t xml:space="preserve"> manifestations pacifiques spontanées </w:t>
      </w:r>
      <w:r w:rsidR="00845CE7">
        <w:rPr>
          <w:lang w:val="fr-CA"/>
        </w:rPr>
        <w:t>motiv</w:t>
      </w:r>
      <w:r w:rsidR="00B61687">
        <w:rPr>
          <w:lang w:val="fr-CA"/>
        </w:rPr>
        <w:t>ées par</w:t>
      </w:r>
      <w:r w:rsidR="00AC5A84">
        <w:rPr>
          <w:lang w:val="fr-CA"/>
        </w:rPr>
        <w:t xml:space="preserve"> des événements </w:t>
      </w:r>
      <w:r w:rsidR="00845CE7">
        <w:rPr>
          <w:lang w:val="fr-CA"/>
        </w:rPr>
        <w:t>dont</w:t>
      </w:r>
      <w:r w:rsidR="00B61687">
        <w:rPr>
          <w:lang w:val="fr-CA"/>
        </w:rPr>
        <w:t xml:space="preserve"> elles </w:t>
      </w:r>
      <w:r w:rsidR="00845CE7">
        <w:rPr>
          <w:lang w:val="fr-CA"/>
        </w:rPr>
        <w:t>sont</w:t>
      </w:r>
      <w:r w:rsidR="00B61687">
        <w:rPr>
          <w:lang w:val="fr-CA"/>
        </w:rPr>
        <w:t xml:space="preserve"> une </w:t>
      </w:r>
      <w:r w:rsidR="00845CE7">
        <w:rPr>
          <w:lang w:val="fr-CA"/>
        </w:rPr>
        <w:t>conséquence</w:t>
      </w:r>
      <w:r w:rsidR="001021E3">
        <w:rPr>
          <w:lang w:val="fr-CA"/>
        </w:rPr>
        <w:t xml:space="preserve"> </w:t>
      </w:r>
      <w:r w:rsidR="00B61687">
        <w:rPr>
          <w:lang w:val="fr-CA"/>
        </w:rPr>
        <w:t>prévisible</w:t>
      </w:r>
      <w:r w:rsidR="00B62E64">
        <w:rPr>
          <w:lang w:val="fr-CA"/>
        </w:rPr>
        <w:t xml:space="preserve">. </w:t>
      </w:r>
      <w:r w:rsidR="00B61687">
        <w:rPr>
          <w:lang w:val="fr-CA"/>
        </w:rPr>
        <w:t>Elle</w:t>
      </w:r>
      <w:r w:rsidR="00AC5A84">
        <w:rPr>
          <w:lang w:val="fr-CA"/>
        </w:rPr>
        <w:t xml:space="preserve"> </w:t>
      </w:r>
      <w:r w:rsidR="00460D9D">
        <w:rPr>
          <w:lang w:val="fr-CA"/>
        </w:rPr>
        <w:t xml:space="preserve">a statué que </w:t>
      </w:r>
      <w:r w:rsidR="00AC5A84">
        <w:rPr>
          <w:lang w:val="fr-CA"/>
        </w:rPr>
        <w:t>« </w:t>
      </w:r>
      <w:r w:rsidR="00AC5A84" w:rsidRPr="00AC5A84">
        <w:rPr>
          <w:lang w:val="fr-CA"/>
        </w:rPr>
        <w:t>dans des circonstances particulières où pourrait se justifier une réaction immédiate à un événement politique, laquelle prendrait la forme d’une manifestation pacifique, disperser celle-ci au seul motif que l’obligation de déclaration préalable n’a pas été respectée et sans que les participants se soient comportés d’une manière contraire à la loi constitue une restriction disproportionnée à la liberté de réunion pacifique</w:t>
      </w:r>
      <w:r w:rsidR="00AC5A84">
        <w:rPr>
          <w:lang w:val="fr-CA"/>
        </w:rPr>
        <w:t> »</w:t>
      </w:r>
      <w:r w:rsidR="00460D9D">
        <w:rPr>
          <w:rStyle w:val="Appelnotedebasdep"/>
        </w:rPr>
        <w:footnoteReference w:id="22"/>
      </w:r>
      <w:r w:rsidR="00B62E64">
        <w:rPr>
          <w:lang w:val="fr-CA"/>
        </w:rPr>
        <w:t xml:space="preserve">. </w:t>
      </w:r>
      <w:r w:rsidR="00460D9D">
        <w:rPr>
          <w:lang w:val="fr-CA"/>
        </w:rPr>
        <w:t xml:space="preserve">Elle a également </w:t>
      </w:r>
      <w:r w:rsidR="003F69E3">
        <w:rPr>
          <w:lang w:val="fr-CA"/>
        </w:rPr>
        <w:t xml:space="preserve">tranché que l’absence d’une procédure </w:t>
      </w:r>
      <w:r w:rsidR="00FA2656">
        <w:rPr>
          <w:lang w:val="fr-CA"/>
        </w:rPr>
        <w:t xml:space="preserve">permettant </w:t>
      </w:r>
      <w:r w:rsidR="001021E3">
        <w:rPr>
          <w:lang w:val="fr-CA"/>
        </w:rPr>
        <w:t xml:space="preserve">d’interjeter </w:t>
      </w:r>
      <w:r w:rsidR="00FA2656">
        <w:rPr>
          <w:lang w:val="fr-CA"/>
        </w:rPr>
        <w:t xml:space="preserve">un recours effectif </w:t>
      </w:r>
      <w:r w:rsidR="003F69E3">
        <w:rPr>
          <w:lang w:val="fr-CA"/>
        </w:rPr>
        <w:t xml:space="preserve">contre </w:t>
      </w:r>
      <w:r w:rsidR="006F0114">
        <w:rPr>
          <w:lang w:val="fr-CA"/>
        </w:rPr>
        <w:t>l’interdiction d’</w:t>
      </w:r>
      <w:r w:rsidR="003F69E3">
        <w:rPr>
          <w:lang w:val="fr-CA"/>
        </w:rPr>
        <w:t>un rassemblement avant la date pr</w:t>
      </w:r>
      <w:r w:rsidR="006F0114">
        <w:rPr>
          <w:lang w:val="fr-CA"/>
        </w:rPr>
        <w:t>évu</w:t>
      </w:r>
      <w:r w:rsidR="003F69E3">
        <w:rPr>
          <w:lang w:val="fr-CA"/>
        </w:rPr>
        <w:t xml:space="preserve">e de ce dernier constitue une violation de la </w:t>
      </w:r>
      <w:r w:rsidR="003F69E3" w:rsidRPr="006815ED">
        <w:t>Convention de sauvegarde des droits de l</w:t>
      </w:r>
      <w:r w:rsidR="003F69E3">
        <w:t>'</w:t>
      </w:r>
      <w:r w:rsidR="003F69E3" w:rsidRPr="006815ED">
        <w:t>homme et des l</w:t>
      </w:r>
      <w:r w:rsidR="003F69E3">
        <w:t>ibertés fondamentales du Conseil de l’Europe</w:t>
      </w:r>
      <w:r w:rsidR="00FA2656">
        <w:rPr>
          <w:rStyle w:val="Appelnotedebasdep"/>
        </w:rPr>
        <w:footnoteReference w:id="23"/>
      </w:r>
      <w:r w:rsidR="003F69E3">
        <w:t>.</w:t>
      </w:r>
    </w:p>
    <w:p w:rsidR="008544E5" w:rsidRDefault="00C005CD" w:rsidP="00AC5A84">
      <w:pPr>
        <w:pStyle w:val="ParNoG"/>
        <w:tabs>
          <w:tab w:val="clear" w:pos="1701"/>
        </w:tabs>
        <w:ind w:left="624"/>
        <w:rPr>
          <w:lang w:val="fr-CA"/>
        </w:rPr>
      </w:pPr>
      <w:r>
        <w:rPr>
          <w:lang w:val="fr-CA"/>
        </w:rPr>
        <w:t>L</w:t>
      </w:r>
      <w:r w:rsidR="008544E5">
        <w:rPr>
          <w:lang w:val="fr-CA"/>
        </w:rPr>
        <w:t xml:space="preserve">a fondation </w:t>
      </w:r>
      <w:proofErr w:type="spellStart"/>
      <w:r w:rsidR="008544E5">
        <w:rPr>
          <w:lang w:val="fr-CA"/>
        </w:rPr>
        <w:t>Defending</w:t>
      </w:r>
      <w:proofErr w:type="spellEnd"/>
      <w:r w:rsidR="008544E5">
        <w:rPr>
          <w:lang w:val="fr-CA"/>
        </w:rPr>
        <w:t xml:space="preserve"> Dissent </w:t>
      </w:r>
      <w:r>
        <w:rPr>
          <w:lang w:val="fr-CA"/>
        </w:rPr>
        <w:t xml:space="preserve">des États-Unis </w:t>
      </w:r>
      <w:r w:rsidR="00E1415D">
        <w:rPr>
          <w:lang w:val="fr-CA"/>
        </w:rPr>
        <w:t>est d’avis</w:t>
      </w:r>
      <w:r w:rsidR="008544E5">
        <w:rPr>
          <w:lang w:val="fr-CA"/>
        </w:rPr>
        <w:t xml:space="preserve"> qu’aucune notification ou autorisation ne devrait être requise pour les rassemblements </w:t>
      </w:r>
      <w:r w:rsidR="00E37D2C">
        <w:rPr>
          <w:lang w:val="fr-CA"/>
        </w:rPr>
        <w:t>compt</w:t>
      </w:r>
      <w:r w:rsidR="003C404A">
        <w:rPr>
          <w:lang w:val="fr-CA"/>
        </w:rPr>
        <w:t>a</w:t>
      </w:r>
      <w:r w:rsidR="00E37D2C">
        <w:rPr>
          <w:lang w:val="fr-CA"/>
        </w:rPr>
        <w:t>nt</w:t>
      </w:r>
      <w:r w:rsidR="008544E5">
        <w:rPr>
          <w:lang w:val="fr-CA"/>
        </w:rPr>
        <w:t xml:space="preserve"> moins de 50 personnes</w:t>
      </w:r>
      <w:r w:rsidR="00E37D2C">
        <w:rPr>
          <w:lang w:val="fr-CA"/>
        </w:rPr>
        <w:t>,</w:t>
      </w:r>
      <w:r w:rsidR="008544E5">
        <w:rPr>
          <w:lang w:val="fr-CA"/>
        </w:rPr>
        <w:t xml:space="preserve"> </w:t>
      </w:r>
      <w:r w:rsidR="00E37D2C">
        <w:rPr>
          <w:lang w:val="fr-CA"/>
        </w:rPr>
        <w:t>se t</w:t>
      </w:r>
      <w:r w:rsidR="003C404A">
        <w:rPr>
          <w:lang w:val="fr-CA"/>
        </w:rPr>
        <w:t>ena</w:t>
      </w:r>
      <w:r w:rsidR="00E37D2C">
        <w:rPr>
          <w:lang w:val="fr-CA"/>
        </w:rPr>
        <w:t xml:space="preserve">nt </w:t>
      </w:r>
      <w:r w:rsidR="003C404A">
        <w:rPr>
          <w:lang w:val="fr-CA"/>
        </w:rPr>
        <w:t>sur un trottoir</w:t>
      </w:r>
      <w:r w:rsidR="00E37D2C">
        <w:rPr>
          <w:lang w:val="fr-CA"/>
        </w:rPr>
        <w:t xml:space="preserve"> ou </w:t>
      </w:r>
      <w:r w:rsidR="00FD6E08">
        <w:rPr>
          <w:lang w:val="fr-CA"/>
        </w:rPr>
        <w:t>visant</w:t>
      </w:r>
      <w:r w:rsidR="00682A75">
        <w:rPr>
          <w:lang w:val="fr-CA"/>
        </w:rPr>
        <w:t xml:space="preserve"> à </w:t>
      </w:r>
      <w:r w:rsidR="00FD6E08">
        <w:rPr>
          <w:lang w:val="fr-CA"/>
        </w:rPr>
        <w:t>exprimer</w:t>
      </w:r>
      <w:r w:rsidR="00682A75">
        <w:rPr>
          <w:lang w:val="fr-CA"/>
        </w:rPr>
        <w:t xml:space="preserve"> de façon</w:t>
      </w:r>
      <w:r w:rsidR="00E37D2C">
        <w:rPr>
          <w:lang w:val="fr-CA"/>
        </w:rPr>
        <w:t xml:space="preserve"> immédiate </w:t>
      </w:r>
      <w:r w:rsidR="00845CE7">
        <w:rPr>
          <w:lang w:val="fr-CA"/>
        </w:rPr>
        <w:t xml:space="preserve">et spontanée des opinions </w:t>
      </w:r>
      <w:r w:rsidR="00F82BFC">
        <w:rPr>
          <w:lang w:val="fr-CA"/>
        </w:rPr>
        <w:t xml:space="preserve">en réaction à </w:t>
      </w:r>
      <w:r w:rsidR="00E37D2C">
        <w:rPr>
          <w:lang w:val="fr-CA"/>
        </w:rPr>
        <w:t xml:space="preserve">un événement </w:t>
      </w:r>
      <w:r w:rsidR="001842C8">
        <w:rPr>
          <w:lang w:val="fr-CA"/>
        </w:rPr>
        <w:t xml:space="preserve">d’ordre </w:t>
      </w:r>
      <w:r w:rsidR="00E37D2C">
        <w:rPr>
          <w:lang w:val="fr-CA"/>
        </w:rPr>
        <w:t>public.</w:t>
      </w:r>
      <w:r w:rsidR="00E1415D">
        <w:rPr>
          <w:lang w:val="fr-CA"/>
        </w:rPr>
        <w:t xml:space="preserve"> </w:t>
      </w:r>
      <w:r w:rsidR="00E1415D" w:rsidRPr="00E1415D">
        <w:rPr>
          <w:lang w:val="fr-CA"/>
        </w:rPr>
        <w:t xml:space="preserve">L’association </w:t>
      </w:r>
      <w:proofErr w:type="spellStart"/>
      <w:r w:rsidR="00E1415D" w:rsidRPr="00E1415D">
        <w:rPr>
          <w:lang w:val="fr-CA"/>
        </w:rPr>
        <w:t>Lawyers</w:t>
      </w:r>
      <w:proofErr w:type="spellEnd"/>
      <w:r w:rsidR="00E1415D" w:rsidRPr="00E1415D">
        <w:rPr>
          <w:lang w:val="fr-CA"/>
        </w:rPr>
        <w:t xml:space="preserve"> for </w:t>
      </w:r>
      <w:proofErr w:type="spellStart"/>
      <w:r w:rsidR="00E1415D" w:rsidRPr="00E1415D">
        <w:rPr>
          <w:lang w:val="fr-CA"/>
        </w:rPr>
        <w:t>Constitutional</w:t>
      </w:r>
      <w:proofErr w:type="spellEnd"/>
      <w:r w:rsidR="00E1415D" w:rsidRPr="00E1415D">
        <w:rPr>
          <w:lang w:val="fr-CA"/>
        </w:rPr>
        <w:t xml:space="preserve"> </w:t>
      </w:r>
      <w:proofErr w:type="spellStart"/>
      <w:r w:rsidR="00E1415D" w:rsidRPr="00E1415D">
        <w:rPr>
          <w:lang w:val="fr-CA"/>
        </w:rPr>
        <w:t>Rights</w:t>
      </w:r>
      <w:proofErr w:type="spellEnd"/>
      <w:r w:rsidR="00E1415D" w:rsidRPr="00E1415D">
        <w:rPr>
          <w:lang w:val="fr-CA"/>
        </w:rPr>
        <w:t xml:space="preserve"> and </w:t>
      </w:r>
      <w:proofErr w:type="spellStart"/>
      <w:r w:rsidR="00E1415D" w:rsidRPr="00E1415D">
        <w:rPr>
          <w:lang w:val="fr-CA"/>
        </w:rPr>
        <w:t>Freedoms</w:t>
      </w:r>
      <w:proofErr w:type="spellEnd"/>
      <w:r w:rsidR="00E1415D" w:rsidRPr="00E1415D">
        <w:rPr>
          <w:lang w:val="fr-CA"/>
        </w:rPr>
        <w:t xml:space="preserve"> (JURIX) fait campagne pour que les participants ordinaires aux manifestations pacifiques ne </w:t>
      </w:r>
      <w:r w:rsidR="00E1415D">
        <w:rPr>
          <w:lang w:val="fr-CA"/>
        </w:rPr>
        <w:t xml:space="preserve">soient pas </w:t>
      </w:r>
      <w:r w:rsidR="005E3A85">
        <w:rPr>
          <w:lang w:val="fr-CA"/>
        </w:rPr>
        <w:t xml:space="preserve">placés en </w:t>
      </w:r>
      <w:r w:rsidR="00E1415D">
        <w:rPr>
          <w:lang w:val="fr-CA"/>
        </w:rPr>
        <w:t>déten</w:t>
      </w:r>
      <w:r w:rsidR="005E3A85">
        <w:rPr>
          <w:lang w:val="fr-CA"/>
        </w:rPr>
        <w:t>tion</w:t>
      </w:r>
      <w:r w:rsidR="00E1415D">
        <w:rPr>
          <w:lang w:val="fr-CA"/>
        </w:rPr>
        <w:t xml:space="preserve"> même si les autorités et les organisateurs ne sont pas d’accord sur l’heure, le lieu et le déroulement </w:t>
      </w:r>
      <w:r>
        <w:rPr>
          <w:lang w:val="fr-CA"/>
        </w:rPr>
        <w:t xml:space="preserve">de l’événement. </w:t>
      </w:r>
      <w:r w:rsidR="008E77BF">
        <w:rPr>
          <w:lang w:val="fr-CA"/>
        </w:rPr>
        <w:t>Les</w:t>
      </w:r>
      <w:r>
        <w:rPr>
          <w:lang w:val="fr-CA"/>
        </w:rPr>
        <w:t xml:space="preserve"> manifestations </w:t>
      </w:r>
      <w:r w:rsidR="003C404A">
        <w:rPr>
          <w:lang w:val="fr-CA"/>
        </w:rPr>
        <w:t xml:space="preserve">pacifiques </w:t>
      </w:r>
      <w:r w:rsidR="008E77BF">
        <w:rPr>
          <w:lang w:val="fr-CA"/>
        </w:rPr>
        <w:t>devraient avoir la possibilité de</w:t>
      </w:r>
      <w:r w:rsidR="003C404A">
        <w:rPr>
          <w:lang w:val="fr-CA"/>
        </w:rPr>
        <w:t xml:space="preserve"> se tenir devant le public </w:t>
      </w:r>
      <w:r w:rsidR="008E77BF">
        <w:rPr>
          <w:lang w:val="fr-CA"/>
        </w:rPr>
        <w:t>visé et d’</w:t>
      </w:r>
      <w:r w:rsidR="00682A75">
        <w:rPr>
          <w:lang w:val="fr-CA"/>
        </w:rPr>
        <w:t>obteni</w:t>
      </w:r>
      <w:r w:rsidR="008E77BF">
        <w:rPr>
          <w:lang w:val="fr-CA"/>
        </w:rPr>
        <w:t>r</w:t>
      </w:r>
      <w:r w:rsidR="003C404A">
        <w:rPr>
          <w:lang w:val="fr-CA"/>
        </w:rPr>
        <w:t xml:space="preserve"> le maximum de publicité.</w:t>
      </w:r>
      <w:r w:rsidR="008E77BF">
        <w:rPr>
          <w:lang w:val="fr-CA"/>
        </w:rPr>
        <w:t xml:space="preserve"> La procédure </w:t>
      </w:r>
      <w:r w:rsidR="00FD6E08">
        <w:rPr>
          <w:lang w:val="fr-CA"/>
        </w:rPr>
        <w:t>d’obtention du consentement des autorités de tutelle</w:t>
      </w:r>
      <w:r w:rsidR="005E3A85">
        <w:rPr>
          <w:lang w:val="fr-CA"/>
        </w:rPr>
        <w:t>, y compris concernant l’heure et le lieu de la manifestation,</w:t>
      </w:r>
      <w:r w:rsidR="00FD6E08">
        <w:rPr>
          <w:lang w:val="fr-CA"/>
        </w:rPr>
        <w:t xml:space="preserve"> </w:t>
      </w:r>
      <w:r w:rsidR="008E77BF">
        <w:rPr>
          <w:lang w:val="fr-CA"/>
        </w:rPr>
        <w:t xml:space="preserve">ne devrait pas </w:t>
      </w:r>
      <w:r w:rsidR="005E1573">
        <w:rPr>
          <w:lang w:val="fr-CA"/>
        </w:rPr>
        <w:t>être utilisée comme moyen d’empêcher les gens de s’exprimer</w:t>
      </w:r>
      <w:r w:rsidR="005E3A85">
        <w:rPr>
          <w:lang w:val="fr-CA"/>
        </w:rPr>
        <w:t xml:space="preserve"> par ce biais</w:t>
      </w:r>
      <w:r w:rsidR="00FD6E08">
        <w:rPr>
          <w:lang w:val="fr-CA"/>
        </w:rPr>
        <w:t>.</w:t>
      </w:r>
    </w:p>
    <w:p w:rsidR="005E1573" w:rsidRDefault="00C5504A" w:rsidP="00C5504A">
      <w:pPr>
        <w:pStyle w:val="ParNoG"/>
        <w:tabs>
          <w:tab w:val="clear" w:pos="1701"/>
        </w:tabs>
        <w:ind w:left="624"/>
        <w:rPr>
          <w:lang w:val="fr-CA"/>
        </w:rPr>
      </w:pPr>
      <w:r>
        <w:rPr>
          <w:lang w:val="fr-CA"/>
        </w:rPr>
        <w:t>L</w:t>
      </w:r>
      <w:r w:rsidR="005E1573">
        <w:rPr>
          <w:lang w:val="fr-CA"/>
        </w:rPr>
        <w:t xml:space="preserve">’Institut danois pour les droits de l’homme a </w:t>
      </w:r>
      <w:r w:rsidR="00993B4B">
        <w:rPr>
          <w:lang w:val="fr-CA"/>
        </w:rPr>
        <w:t>indiqué</w:t>
      </w:r>
      <w:r>
        <w:rPr>
          <w:lang w:val="fr-CA"/>
        </w:rPr>
        <w:t xml:space="preserve"> qu</w:t>
      </w:r>
      <w:r w:rsidR="002803B0">
        <w:rPr>
          <w:lang w:val="fr-CA"/>
        </w:rPr>
        <w:t>e dans le cas des manifestations dont elle a reçu un préavis</w:t>
      </w:r>
      <w:r w:rsidR="00993B4B">
        <w:rPr>
          <w:lang w:val="fr-CA"/>
        </w:rPr>
        <w:t xml:space="preserve">, </w:t>
      </w:r>
      <w:r>
        <w:rPr>
          <w:lang w:val="fr-CA"/>
        </w:rPr>
        <w:t xml:space="preserve">la police </w:t>
      </w:r>
      <w:r w:rsidR="00993B4B">
        <w:rPr>
          <w:lang w:val="fr-CA"/>
        </w:rPr>
        <w:t xml:space="preserve">de Copenhague </w:t>
      </w:r>
      <w:r>
        <w:rPr>
          <w:lang w:val="fr-CA"/>
        </w:rPr>
        <w:t xml:space="preserve">engage un dialogue avec les organisateurs </w:t>
      </w:r>
      <w:r w:rsidR="002803B0">
        <w:rPr>
          <w:lang w:val="fr-CA"/>
        </w:rPr>
        <w:t xml:space="preserve">avant la date prévue </w:t>
      </w:r>
      <w:r w:rsidR="00993B4B">
        <w:rPr>
          <w:lang w:val="fr-CA"/>
        </w:rPr>
        <w:t>afin</w:t>
      </w:r>
      <w:r>
        <w:rPr>
          <w:lang w:val="fr-CA"/>
        </w:rPr>
        <w:t xml:space="preserve"> </w:t>
      </w:r>
      <w:r w:rsidR="002803B0">
        <w:rPr>
          <w:lang w:val="fr-CA"/>
        </w:rPr>
        <w:t>d’assurer</w:t>
      </w:r>
      <w:r>
        <w:rPr>
          <w:lang w:val="fr-CA"/>
        </w:rPr>
        <w:t xml:space="preserve"> </w:t>
      </w:r>
      <w:r w:rsidR="002803B0">
        <w:rPr>
          <w:lang w:val="fr-CA"/>
        </w:rPr>
        <w:t xml:space="preserve">le </w:t>
      </w:r>
      <w:r>
        <w:rPr>
          <w:lang w:val="fr-CA"/>
        </w:rPr>
        <w:t>déroule</w:t>
      </w:r>
      <w:r w:rsidR="002803B0">
        <w:rPr>
          <w:lang w:val="fr-CA"/>
        </w:rPr>
        <w:t>ment</w:t>
      </w:r>
      <w:r>
        <w:rPr>
          <w:lang w:val="fr-CA"/>
        </w:rPr>
        <w:t xml:space="preserve"> pacifique</w:t>
      </w:r>
      <w:r w:rsidR="002803B0">
        <w:rPr>
          <w:lang w:val="fr-CA"/>
        </w:rPr>
        <w:t xml:space="preserve"> de l’événement</w:t>
      </w:r>
      <w:r>
        <w:rPr>
          <w:lang w:val="fr-CA"/>
        </w:rPr>
        <w:t xml:space="preserve">. Le </w:t>
      </w:r>
      <w:r w:rsidRPr="00C5504A">
        <w:rPr>
          <w:lang w:val="fr-CA"/>
        </w:rPr>
        <w:t xml:space="preserve">Zimbabwe </w:t>
      </w:r>
      <w:proofErr w:type="spellStart"/>
      <w:r w:rsidRPr="00C5504A">
        <w:rPr>
          <w:lang w:val="fr-CA"/>
        </w:rPr>
        <w:t>Human</w:t>
      </w:r>
      <w:proofErr w:type="spellEnd"/>
      <w:r w:rsidRPr="00C5504A">
        <w:rPr>
          <w:lang w:val="fr-CA"/>
        </w:rPr>
        <w:t xml:space="preserve"> </w:t>
      </w:r>
      <w:proofErr w:type="spellStart"/>
      <w:r w:rsidRPr="00C5504A">
        <w:rPr>
          <w:lang w:val="fr-CA"/>
        </w:rPr>
        <w:t>Rights</w:t>
      </w:r>
      <w:proofErr w:type="spellEnd"/>
      <w:r w:rsidRPr="00C5504A">
        <w:rPr>
          <w:lang w:val="fr-CA"/>
        </w:rPr>
        <w:t xml:space="preserve"> NGO Forum</w:t>
      </w:r>
      <w:r w:rsidR="002803B0">
        <w:rPr>
          <w:lang w:val="fr-CA"/>
        </w:rPr>
        <w:t xml:space="preserve"> appuie les initiatives de réforme juridique visant à </w:t>
      </w:r>
      <w:r w:rsidR="008E3BFD">
        <w:rPr>
          <w:lang w:val="fr-CA"/>
        </w:rPr>
        <w:t>enlever à la police</w:t>
      </w:r>
      <w:r w:rsidR="002803B0">
        <w:rPr>
          <w:lang w:val="fr-CA"/>
        </w:rPr>
        <w:t xml:space="preserve"> le pouvoir d’interdire </w:t>
      </w:r>
      <w:r w:rsidR="006F167F">
        <w:rPr>
          <w:lang w:val="fr-CA"/>
        </w:rPr>
        <w:t>une</w:t>
      </w:r>
      <w:r w:rsidR="002803B0">
        <w:rPr>
          <w:lang w:val="fr-CA"/>
        </w:rPr>
        <w:t xml:space="preserve"> manifestation </w:t>
      </w:r>
      <w:r w:rsidR="008E3BFD">
        <w:rPr>
          <w:lang w:val="fr-CA"/>
        </w:rPr>
        <w:t xml:space="preserve">pour le donner </w:t>
      </w:r>
      <w:r w:rsidR="002803B0">
        <w:rPr>
          <w:lang w:val="fr-CA"/>
        </w:rPr>
        <w:t xml:space="preserve">aux tribunaux et à </w:t>
      </w:r>
      <w:r w:rsidR="006F167F">
        <w:rPr>
          <w:lang w:val="fr-CA"/>
        </w:rPr>
        <w:t>supprimer</w:t>
      </w:r>
      <w:r w:rsidR="002803B0">
        <w:rPr>
          <w:lang w:val="fr-CA"/>
        </w:rPr>
        <w:t xml:space="preserve"> l’obligation pour les manifestants</w:t>
      </w:r>
      <w:r w:rsidR="006F167F">
        <w:rPr>
          <w:lang w:val="fr-CA"/>
        </w:rPr>
        <w:t xml:space="preserve"> de se munir de leur carte d’identité.</w:t>
      </w:r>
    </w:p>
    <w:p w:rsidR="006F167F" w:rsidRDefault="006F167F" w:rsidP="00AE7A9C">
      <w:pPr>
        <w:pStyle w:val="ParNoG"/>
        <w:tabs>
          <w:tab w:val="clear" w:pos="1701"/>
        </w:tabs>
        <w:ind w:left="624"/>
        <w:rPr>
          <w:lang w:val="fr-CA"/>
        </w:rPr>
      </w:pPr>
      <w:r>
        <w:rPr>
          <w:lang w:val="fr-CA"/>
        </w:rPr>
        <w:t xml:space="preserve">Dans leur jurisprudence, certaines cours régionales ont </w:t>
      </w:r>
      <w:r w:rsidR="004F6563">
        <w:rPr>
          <w:lang w:val="fr-CA"/>
        </w:rPr>
        <w:t>abordé</w:t>
      </w:r>
      <w:r>
        <w:rPr>
          <w:lang w:val="fr-CA"/>
        </w:rPr>
        <w:t xml:space="preserve"> la question de savoir si les manifestations </w:t>
      </w:r>
      <w:r w:rsidR="00513046">
        <w:rPr>
          <w:lang w:val="fr-CA"/>
        </w:rPr>
        <w:t>pacifiques qui ont lieu</w:t>
      </w:r>
      <w:r>
        <w:rPr>
          <w:lang w:val="fr-CA"/>
        </w:rPr>
        <w:t xml:space="preserve"> sur des voies </w:t>
      </w:r>
      <w:r w:rsidR="00E70DD6">
        <w:rPr>
          <w:lang w:val="fr-CA"/>
        </w:rPr>
        <w:t xml:space="preserve">ou dans des espaces </w:t>
      </w:r>
      <w:r>
        <w:rPr>
          <w:lang w:val="fr-CA"/>
        </w:rPr>
        <w:t xml:space="preserve">publics </w:t>
      </w:r>
      <w:r w:rsidR="00E70DD6">
        <w:rPr>
          <w:lang w:val="fr-CA"/>
        </w:rPr>
        <w:t xml:space="preserve">très fréquentés </w:t>
      </w:r>
      <w:r>
        <w:rPr>
          <w:lang w:val="fr-CA"/>
        </w:rPr>
        <w:t>peuvent faire l’objet de restrictions</w:t>
      </w:r>
      <w:r w:rsidR="00E70DD6">
        <w:rPr>
          <w:lang w:val="fr-CA"/>
        </w:rPr>
        <w:t>.</w:t>
      </w:r>
      <w:r w:rsidR="004F6563">
        <w:rPr>
          <w:lang w:val="fr-CA"/>
        </w:rPr>
        <w:t xml:space="preserve"> La Cour européenne des droits de l’homme a rejeté l’argument selon lequel la fermeture d’une voie publique à la circulation aux fins d’une manifestation causerait </w:t>
      </w:r>
      <w:r w:rsidR="007C0461">
        <w:rPr>
          <w:lang w:val="fr-CA"/>
        </w:rPr>
        <w:t xml:space="preserve">des </w:t>
      </w:r>
      <w:r w:rsidR="004F6563">
        <w:rPr>
          <w:lang w:val="fr-CA"/>
        </w:rPr>
        <w:t>désagrément</w:t>
      </w:r>
      <w:r w:rsidR="007C0461">
        <w:rPr>
          <w:lang w:val="fr-CA"/>
        </w:rPr>
        <w:t>s</w:t>
      </w:r>
      <w:r w:rsidR="004F6563">
        <w:rPr>
          <w:lang w:val="fr-CA"/>
        </w:rPr>
        <w:t xml:space="preserve"> indu</w:t>
      </w:r>
      <w:r w:rsidR="007C0461">
        <w:rPr>
          <w:lang w:val="fr-CA"/>
        </w:rPr>
        <w:t>s</w:t>
      </w:r>
      <w:r w:rsidR="004F6563">
        <w:rPr>
          <w:lang w:val="fr-CA"/>
        </w:rPr>
        <w:t xml:space="preserve"> aux autres usagers</w:t>
      </w:r>
      <w:r w:rsidR="007C0461">
        <w:rPr>
          <w:lang w:val="fr-CA"/>
        </w:rPr>
        <w:t xml:space="preserve">, </w:t>
      </w:r>
      <w:r w:rsidR="00513046">
        <w:rPr>
          <w:lang w:val="fr-CA"/>
        </w:rPr>
        <w:t xml:space="preserve">laissant entendre </w:t>
      </w:r>
      <w:r w:rsidR="007C0461">
        <w:rPr>
          <w:lang w:val="fr-CA"/>
        </w:rPr>
        <w:t xml:space="preserve">que toute manifestation </w:t>
      </w:r>
      <w:r w:rsidR="00513046">
        <w:rPr>
          <w:lang w:val="fr-CA"/>
        </w:rPr>
        <w:t xml:space="preserve">tenue </w:t>
      </w:r>
      <w:r w:rsidR="007C0461">
        <w:rPr>
          <w:lang w:val="fr-CA"/>
        </w:rPr>
        <w:t xml:space="preserve">dans un espace public entraîne inévitablement un certain degré de perturbation de la vie normale, </w:t>
      </w:r>
      <w:r w:rsidR="00A10025">
        <w:rPr>
          <w:lang w:val="fr-CA"/>
        </w:rPr>
        <w:t>y compris</w:t>
      </w:r>
      <w:r w:rsidR="007C0461">
        <w:rPr>
          <w:lang w:val="fr-CA"/>
        </w:rPr>
        <w:t xml:space="preserve"> la circulation</w:t>
      </w:r>
      <w:r w:rsidR="00A10025">
        <w:rPr>
          <w:lang w:val="fr-CA"/>
        </w:rPr>
        <w:t>, et qu’</w:t>
      </w:r>
      <w:r w:rsidR="007C0461">
        <w:rPr>
          <w:lang w:val="fr-CA"/>
        </w:rPr>
        <w:t xml:space="preserve">il importe que les pouvoirs publics montrent un certain degré de tolérance envers les </w:t>
      </w:r>
      <w:r w:rsidR="00A10025">
        <w:rPr>
          <w:lang w:val="fr-CA"/>
        </w:rPr>
        <w:t xml:space="preserve">rassemblements </w:t>
      </w:r>
      <w:r w:rsidR="007C0461">
        <w:rPr>
          <w:lang w:val="fr-CA"/>
        </w:rPr>
        <w:t xml:space="preserve">pacifiques si on </w:t>
      </w:r>
      <w:r w:rsidR="00211988">
        <w:rPr>
          <w:lang w:val="fr-CA"/>
        </w:rPr>
        <w:t xml:space="preserve">ne </w:t>
      </w:r>
      <w:r w:rsidR="007C0461">
        <w:rPr>
          <w:lang w:val="fr-CA"/>
        </w:rPr>
        <w:t xml:space="preserve">veut </w:t>
      </w:r>
      <w:r w:rsidR="00211988">
        <w:rPr>
          <w:lang w:val="fr-CA"/>
        </w:rPr>
        <w:t xml:space="preserve">pas </w:t>
      </w:r>
      <w:r w:rsidR="007C0461">
        <w:rPr>
          <w:lang w:val="fr-CA"/>
        </w:rPr>
        <w:t xml:space="preserve">que la liberté de réunion garantie par l’article 11 de la Convention </w:t>
      </w:r>
      <w:r w:rsidR="00A10025">
        <w:rPr>
          <w:lang w:val="fr-CA"/>
        </w:rPr>
        <w:t xml:space="preserve">perde </w:t>
      </w:r>
      <w:r w:rsidR="007C0461">
        <w:rPr>
          <w:lang w:val="fr-CA"/>
        </w:rPr>
        <w:t>toute substance</w:t>
      </w:r>
      <w:r w:rsidR="007C0461">
        <w:rPr>
          <w:rStyle w:val="Appelnotedebasdep"/>
        </w:rPr>
        <w:footnoteReference w:id="24"/>
      </w:r>
      <w:r w:rsidR="007C0461">
        <w:rPr>
          <w:lang w:val="fr-CA"/>
        </w:rPr>
        <w:t>.</w:t>
      </w:r>
      <w:r w:rsidR="00211988">
        <w:rPr>
          <w:lang w:val="fr-CA"/>
        </w:rPr>
        <w:t xml:space="preserve"> La Cour de justice de l’Union européenne </w:t>
      </w:r>
      <w:r w:rsidR="008764A1">
        <w:rPr>
          <w:lang w:val="fr-CA"/>
        </w:rPr>
        <w:t xml:space="preserve">a tiré la même conclusion </w:t>
      </w:r>
      <w:r w:rsidR="00AE7A9C">
        <w:rPr>
          <w:lang w:val="fr-CA"/>
        </w:rPr>
        <w:t>dans un cas où une manifestation tenue sur un grand axe routier des Alpes a eu pour effet de bloquer complètement la circulation pendant près de 30 heures</w:t>
      </w:r>
      <w:r w:rsidR="00AE7A9C">
        <w:rPr>
          <w:rStyle w:val="Appelnotedebasdep"/>
        </w:rPr>
        <w:footnoteReference w:id="25"/>
      </w:r>
      <w:r w:rsidR="00AE7A9C">
        <w:rPr>
          <w:lang w:val="fr-CA"/>
        </w:rPr>
        <w:t xml:space="preserve">. </w:t>
      </w:r>
      <w:r w:rsidR="008764A1">
        <w:rPr>
          <w:lang w:val="fr-CA"/>
        </w:rPr>
        <w:t>L</w:t>
      </w:r>
      <w:r w:rsidR="00AE7A9C">
        <w:rPr>
          <w:lang w:val="fr-CA"/>
        </w:rPr>
        <w:t xml:space="preserve">a </w:t>
      </w:r>
      <w:r w:rsidR="00AE7A9C" w:rsidRPr="00AE7A9C">
        <w:rPr>
          <w:lang w:val="fr-CA"/>
        </w:rPr>
        <w:t>Commission interaméricaine des droits de l'homme</w:t>
      </w:r>
      <w:r w:rsidR="00AE7A9C">
        <w:rPr>
          <w:lang w:val="fr-CA"/>
        </w:rPr>
        <w:t xml:space="preserve"> </w:t>
      </w:r>
      <w:r w:rsidR="008764A1">
        <w:rPr>
          <w:lang w:val="fr-CA"/>
        </w:rPr>
        <w:t>est également parvenue à une conclusion similaire</w:t>
      </w:r>
      <w:r w:rsidR="00B45557">
        <w:rPr>
          <w:rStyle w:val="Appelnotedebasdep"/>
        </w:rPr>
        <w:footnoteReference w:id="26"/>
      </w:r>
      <w:r w:rsidR="00AE7A9C">
        <w:rPr>
          <w:lang w:val="fr-CA"/>
        </w:rPr>
        <w:t>.</w:t>
      </w:r>
    </w:p>
    <w:p w:rsidR="00AE7A9C" w:rsidRPr="00AE7A9C" w:rsidRDefault="00AE7A9C" w:rsidP="00AE7A9C">
      <w:pPr>
        <w:pStyle w:val="ParNoG"/>
        <w:numPr>
          <w:ilvl w:val="0"/>
          <w:numId w:val="0"/>
        </w:numPr>
        <w:ind w:left="624"/>
        <w:rPr>
          <w:b/>
          <w:lang w:val="fr-CA"/>
        </w:rPr>
      </w:pPr>
      <w:r w:rsidRPr="00AE7A9C">
        <w:rPr>
          <w:b/>
          <w:lang w:val="fr-CA"/>
        </w:rPr>
        <w:t xml:space="preserve">Rôle joué par les autorités, en particulier la police, durant les </w:t>
      </w:r>
      <w:r w:rsidR="00F86250">
        <w:rPr>
          <w:b/>
          <w:lang w:val="fr-CA"/>
        </w:rPr>
        <w:t>manifest</w:t>
      </w:r>
      <w:r w:rsidRPr="00AE7A9C">
        <w:rPr>
          <w:b/>
          <w:lang w:val="fr-CA"/>
        </w:rPr>
        <w:t>ations pacifiques</w:t>
      </w:r>
    </w:p>
    <w:p w:rsidR="00AE7A9C" w:rsidRDefault="00804C2E" w:rsidP="00AE7A9C">
      <w:pPr>
        <w:pStyle w:val="ParNoG"/>
        <w:tabs>
          <w:tab w:val="clear" w:pos="1701"/>
        </w:tabs>
        <w:ind w:left="624"/>
        <w:rPr>
          <w:lang w:val="fr-CA"/>
        </w:rPr>
      </w:pPr>
      <w:r>
        <w:rPr>
          <w:lang w:val="fr-CA"/>
        </w:rPr>
        <w:t>L</w:t>
      </w:r>
      <w:r w:rsidR="008764A1">
        <w:rPr>
          <w:lang w:val="fr-CA"/>
        </w:rPr>
        <w:t>’Institut danois pour les droits de l’homme</w:t>
      </w:r>
      <w:r>
        <w:rPr>
          <w:lang w:val="fr-CA"/>
        </w:rPr>
        <w:t xml:space="preserve"> a fait savoir que</w:t>
      </w:r>
      <w:r w:rsidR="008764A1">
        <w:rPr>
          <w:lang w:val="fr-CA"/>
        </w:rPr>
        <w:t xml:space="preserve"> la police de Copenhague a, en 2012,</w:t>
      </w:r>
      <w:r>
        <w:rPr>
          <w:lang w:val="fr-CA"/>
        </w:rPr>
        <w:t xml:space="preserve"> lancé</w:t>
      </w:r>
      <w:r w:rsidR="008764A1">
        <w:rPr>
          <w:lang w:val="fr-CA"/>
        </w:rPr>
        <w:t xml:space="preserve"> </w:t>
      </w:r>
      <w:r w:rsidR="00850701">
        <w:rPr>
          <w:lang w:val="fr-CA"/>
        </w:rPr>
        <w:t>un s</w:t>
      </w:r>
      <w:r w:rsidR="009D5289">
        <w:rPr>
          <w:lang w:val="fr-CA"/>
        </w:rPr>
        <w:t>ervic</w:t>
      </w:r>
      <w:r w:rsidR="00850701">
        <w:rPr>
          <w:lang w:val="fr-CA"/>
        </w:rPr>
        <w:t xml:space="preserve">e </w:t>
      </w:r>
      <w:r w:rsidR="008764A1">
        <w:rPr>
          <w:lang w:val="fr-CA"/>
        </w:rPr>
        <w:t xml:space="preserve">de communication </w:t>
      </w:r>
      <w:r w:rsidR="009D5289">
        <w:rPr>
          <w:lang w:val="fr-CA"/>
        </w:rPr>
        <w:t>via</w:t>
      </w:r>
      <w:r w:rsidR="00850701">
        <w:rPr>
          <w:lang w:val="fr-CA"/>
        </w:rPr>
        <w:t xml:space="preserve"> l</w:t>
      </w:r>
      <w:r w:rsidR="008764A1">
        <w:rPr>
          <w:lang w:val="fr-CA"/>
        </w:rPr>
        <w:t>es médias sociaux</w:t>
      </w:r>
      <w:r w:rsidR="009D5289">
        <w:rPr>
          <w:lang w:val="fr-CA"/>
        </w:rPr>
        <w:t xml:space="preserve"> qui fournit, sur</w:t>
      </w:r>
      <w:r w:rsidR="00850701">
        <w:rPr>
          <w:lang w:val="fr-CA"/>
        </w:rPr>
        <w:t xml:space="preserve"> Facebook et Twitter, </w:t>
      </w:r>
      <w:r w:rsidR="009D5289">
        <w:rPr>
          <w:lang w:val="fr-CA"/>
        </w:rPr>
        <w:t xml:space="preserve">des informations actualisées </w:t>
      </w:r>
      <w:r w:rsidR="00BA398B">
        <w:rPr>
          <w:lang w:val="fr-CA"/>
        </w:rPr>
        <w:t>sur</w:t>
      </w:r>
      <w:r w:rsidR="009D5289">
        <w:rPr>
          <w:lang w:val="fr-CA"/>
        </w:rPr>
        <w:t xml:space="preserve"> les </w:t>
      </w:r>
      <w:r w:rsidR="00850701">
        <w:rPr>
          <w:lang w:val="fr-CA"/>
        </w:rPr>
        <w:t xml:space="preserve">manifestations et événements publics </w:t>
      </w:r>
      <w:r w:rsidR="009D5289">
        <w:rPr>
          <w:lang w:val="fr-CA"/>
        </w:rPr>
        <w:t xml:space="preserve">à </w:t>
      </w:r>
      <w:r w:rsidR="00513046">
        <w:rPr>
          <w:lang w:val="fr-CA"/>
        </w:rPr>
        <w:t xml:space="preserve">l’intention </w:t>
      </w:r>
      <w:r w:rsidR="009D5289">
        <w:rPr>
          <w:lang w:val="fr-CA"/>
        </w:rPr>
        <w:t>des participants à ces derniers</w:t>
      </w:r>
      <w:r w:rsidR="00850701">
        <w:rPr>
          <w:lang w:val="fr-CA"/>
        </w:rPr>
        <w:t xml:space="preserve">. </w:t>
      </w:r>
      <w:r w:rsidR="00F86250">
        <w:rPr>
          <w:lang w:val="fr-CA"/>
        </w:rPr>
        <w:t>L’</w:t>
      </w:r>
      <w:r w:rsidR="00850701">
        <w:rPr>
          <w:lang w:val="fr-CA"/>
        </w:rPr>
        <w:t>Australie</w:t>
      </w:r>
      <w:r w:rsidR="00F86250">
        <w:rPr>
          <w:lang w:val="fr-CA"/>
        </w:rPr>
        <w:t xml:space="preserve"> a </w:t>
      </w:r>
      <w:r w:rsidR="00513046">
        <w:rPr>
          <w:lang w:val="fr-CA"/>
        </w:rPr>
        <w:t>indiqué</w:t>
      </w:r>
      <w:r w:rsidR="00F86250">
        <w:rPr>
          <w:lang w:val="fr-CA"/>
        </w:rPr>
        <w:t xml:space="preserve"> que</w:t>
      </w:r>
      <w:r w:rsidR="00850701">
        <w:rPr>
          <w:lang w:val="fr-CA"/>
        </w:rPr>
        <w:t xml:space="preserve"> </w:t>
      </w:r>
      <w:r w:rsidR="009D5289">
        <w:rPr>
          <w:lang w:val="fr-CA"/>
        </w:rPr>
        <w:t>lors des manifestations pacifiques</w:t>
      </w:r>
      <w:r w:rsidR="0038133F">
        <w:rPr>
          <w:lang w:val="fr-CA"/>
        </w:rPr>
        <w:t>,</w:t>
      </w:r>
      <w:r w:rsidR="00F86250">
        <w:rPr>
          <w:lang w:val="fr-CA"/>
        </w:rPr>
        <w:t xml:space="preserve"> </w:t>
      </w:r>
      <w:r w:rsidR="00DB45AA">
        <w:rPr>
          <w:lang w:val="fr-CA"/>
        </w:rPr>
        <w:t>ses services de</w:t>
      </w:r>
      <w:r w:rsidR="0038133F">
        <w:rPr>
          <w:lang w:val="fr-CA"/>
        </w:rPr>
        <w:t xml:space="preserve"> police </w:t>
      </w:r>
      <w:r w:rsidR="00DB45AA">
        <w:rPr>
          <w:lang w:val="fr-CA"/>
        </w:rPr>
        <w:t>s’acquittent de leurs fonctions</w:t>
      </w:r>
      <w:r w:rsidR="0038133F">
        <w:rPr>
          <w:lang w:val="fr-CA"/>
        </w:rPr>
        <w:t xml:space="preserve"> </w:t>
      </w:r>
      <w:r w:rsidR="00F86250">
        <w:rPr>
          <w:lang w:val="fr-CA"/>
        </w:rPr>
        <w:t>d’une manière qui respecte les droits et libertés de la population.</w:t>
      </w:r>
    </w:p>
    <w:p w:rsidR="00F86250" w:rsidRDefault="00F86250" w:rsidP="00804C2E">
      <w:pPr>
        <w:pStyle w:val="ParNoG"/>
        <w:tabs>
          <w:tab w:val="clear" w:pos="1701"/>
        </w:tabs>
        <w:ind w:left="624"/>
        <w:rPr>
          <w:lang w:val="fr-CA"/>
        </w:rPr>
      </w:pPr>
      <w:r>
        <w:rPr>
          <w:lang w:val="fr-CA"/>
        </w:rPr>
        <w:t xml:space="preserve">Le Monténégro a déclaré </w:t>
      </w:r>
      <w:r w:rsidR="0030364E">
        <w:rPr>
          <w:lang w:val="fr-CA"/>
        </w:rPr>
        <w:t xml:space="preserve">que </w:t>
      </w:r>
      <w:r w:rsidR="00130DEA">
        <w:rPr>
          <w:lang w:val="fr-CA"/>
        </w:rPr>
        <w:t>durant les manifestations pacifiques, s</w:t>
      </w:r>
      <w:r w:rsidR="00DB45AA">
        <w:rPr>
          <w:lang w:val="fr-CA"/>
        </w:rPr>
        <w:t>es services de</w:t>
      </w:r>
      <w:r w:rsidR="00130DEA">
        <w:rPr>
          <w:lang w:val="fr-CA"/>
        </w:rPr>
        <w:t xml:space="preserve"> police reste</w:t>
      </w:r>
      <w:r w:rsidR="00DB45AA">
        <w:rPr>
          <w:lang w:val="fr-CA"/>
        </w:rPr>
        <w:t>nt</w:t>
      </w:r>
      <w:r w:rsidR="00130DEA">
        <w:rPr>
          <w:lang w:val="fr-CA"/>
        </w:rPr>
        <w:t xml:space="preserve"> en contact et coopère</w:t>
      </w:r>
      <w:r w:rsidR="00DB45AA">
        <w:rPr>
          <w:lang w:val="fr-CA"/>
        </w:rPr>
        <w:t>nt</w:t>
      </w:r>
      <w:r w:rsidR="00130DEA">
        <w:rPr>
          <w:lang w:val="fr-CA"/>
        </w:rPr>
        <w:t xml:space="preserve"> avec les organisateurs ainsi qu’avec les autres entités concernées, telles que les organismes </w:t>
      </w:r>
      <w:r w:rsidR="00DB45AA">
        <w:rPr>
          <w:lang w:val="fr-CA"/>
        </w:rPr>
        <w:t>assurant</w:t>
      </w:r>
      <w:r w:rsidR="0038133F">
        <w:rPr>
          <w:lang w:val="fr-CA"/>
        </w:rPr>
        <w:t xml:space="preserve"> la protection physique ou sanitaire, ou les médias.</w:t>
      </w:r>
      <w:r w:rsidR="00DB45AA">
        <w:rPr>
          <w:lang w:val="fr-CA"/>
        </w:rPr>
        <w:t xml:space="preserve"> </w:t>
      </w:r>
      <w:r w:rsidR="00513046">
        <w:rPr>
          <w:lang w:val="fr-CA"/>
        </w:rPr>
        <w:t xml:space="preserve">À </w:t>
      </w:r>
      <w:r w:rsidR="00DB45AA">
        <w:rPr>
          <w:lang w:val="fr-CA"/>
        </w:rPr>
        <w:t>Madagascar</w:t>
      </w:r>
      <w:r w:rsidR="00513046">
        <w:rPr>
          <w:lang w:val="fr-CA"/>
        </w:rPr>
        <w:t>,</w:t>
      </w:r>
      <w:r w:rsidR="00804C2E">
        <w:rPr>
          <w:lang w:val="fr-CA"/>
        </w:rPr>
        <w:t xml:space="preserve"> </w:t>
      </w:r>
      <w:r w:rsidR="000622A1">
        <w:rPr>
          <w:lang w:val="fr-CA"/>
        </w:rPr>
        <w:t xml:space="preserve">le Ministère de la sécurité intérieure et la police </w:t>
      </w:r>
      <w:r w:rsidR="00804C2E">
        <w:rPr>
          <w:lang w:val="fr-CA"/>
        </w:rPr>
        <w:t>sont chargés, entre autres attributions, de</w:t>
      </w:r>
      <w:r w:rsidR="000622A1">
        <w:rPr>
          <w:lang w:val="fr-CA"/>
        </w:rPr>
        <w:t xml:space="preserve"> garantir </w:t>
      </w:r>
      <w:r w:rsidR="000622A1" w:rsidRPr="000622A1">
        <w:rPr>
          <w:lang w:val="fr-CA"/>
        </w:rPr>
        <w:t>le libre exercice des libertés fondamentales</w:t>
      </w:r>
      <w:r w:rsidR="000622A1">
        <w:rPr>
          <w:lang w:val="fr-CA"/>
        </w:rPr>
        <w:t xml:space="preserve"> </w:t>
      </w:r>
      <w:r w:rsidR="00804C2E">
        <w:rPr>
          <w:lang w:val="fr-CA"/>
        </w:rPr>
        <w:t>protégé</w:t>
      </w:r>
      <w:r w:rsidR="000622A1">
        <w:rPr>
          <w:lang w:val="fr-CA"/>
        </w:rPr>
        <w:t xml:space="preserve">es par la Constitution, y compris celle de manifestation pacifique. Les services de police </w:t>
      </w:r>
      <w:r w:rsidR="00804C2E">
        <w:rPr>
          <w:lang w:val="fr-CA"/>
        </w:rPr>
        <w:t xml:space="preserve">assurent le </w:t>
      </w:r>
      <w:r w:rsidR="000622A1">
        <w:rPr>
          <w:lang w:val="fr-CA"/>
        </w:rPr>
        <w:t>respect</w:t>
      </w:r>
      <w:r w:rsidR="00804C2E">
        <w:rPr>
          <w:lang w:val="fr-CA"/>
        </w:rPr>
        <w:t xml:space="preserve"> d</w:t>
      </w:r>
      <w:r w:rsidR="000622A1">
        <w:rPr>
          <w:lang w:val="fr-CA"/>
        </w:rPr>
        <w:t xml:space="preserve">es règles en matière de manifestation pacifique et </w:t>
      </w:r>
      <w:r w:rsidR="00804C2E">
        <w:rPr>
          <w:lang w:val="fr-CA"/>
        </w:rPr>
        <w:t>l</w:t>
      </w:r>
      <w:r w:rsidR="000622A1">
        <w:rPr>
          <w:lang w:val="fr-CA"/>
        </w:rPr>
        <w:t>e maint</w:t>
      </w:r>
      <w:r w:rsidR="00804C2E">
        <w:rPr>
          <w:lang w:val="fr-CA"/>
        </w:rPr>
        <w:t>i</w:t>
      </w:r>
      <w:r w:rsidR="000622A1">
        <w:rPr>
          <w:lang w:val="fr-CA"/>
        </w:rPr>
        <w:t>en</w:t>
      </w:r>
      <w:r w:rsidR="00804C2E">
        <w:rPr>
          <w:lang w:val="fr-CA"/>
        </w:rPr>
        <w:t xml:space="preserve"> de</w:t>
      </w:r>
      <w:r w:rsidR="000622A1">
        <w:rPr>
          <w:lang w:val="fr-CA"/>
        </w:rPr>
        <w:t xml:space="preserve"> l’ordre public avant, pendant et après les manifestations.</w:t>
      </w:r>
    </w:p>
    <w:p w:rsidR="00804C2E" w:rsidRDefault="00804C2E" w:rsidP="00513046">
      <w:pPr>
        <w:pStyle w:val="ParNoG"/>
        <w:tabs>
          <w:tab w:val="clear" w:pos="1701"/>
        </w:tabs>
        <w:ind w:left="624"/>
        <w:rPr>
          <w:lang w:val="fr-CA"/>
        </w:rPr>
      </w:pPr>
      <w:r w:rsidRPr="00513046">
        <w:rPr>
          <w:lang w:val="fr-CA"/>
        </w:rPr>
        <w:t xml:space="preserve">Le </w:t>
      </w:r>
      <w:proofErr w:type="spellStart"/>
      <w:r w:rsidRPr="00513046">
        <w:rPr>
          <w:lang w:val="fr-CA"/>
        </w:rPr>
        <w:t>Castan</w:t>
      </w:r>
      <w:proofErr w:type="spellEnd"/>
      <w:r w:rsidRPr="00513046">
        <w:rPr>
          <w:lang w:val="fr-CA"/>
        </w:rPr>
        <w:t xml:space="preserve"> Centre for </w:t>
      </w:r>
      <w:proofErr w:type="spellStart"/>
      <w:r w:rsidRPr="00513046">
        <w:rPr>
          <w:lang w:val="fr-CA"/>
        </w:rPr>
        <w:t>Human</w:t>
      </w:r>
      <w:proofErr w:type="spellEnd"/>
      <w:r w:rsidRPr="00513046">
        <w:rPr>
          <w:lang w:val="fr-CA"/>
        </w:rPr>
        <w:t xml:space="preserve"> </w:t>
      </w:r>
      <w:proofErr w:type="spellStart"/>
      <w:r w:rsidRPr="00513046">
        <w:rPr>
          <w:lang w:val="fr-CA"/>
        </w:rPr>
        <w:t>Rights</w:t>
      </w:r>
      <w:proofErr w:type="spellEnd"/>
      <w:r w:rsidRPr="00513046">
        <w:rPr>
          <w:lang w:val="fr-CA"/>
        </w:rPr>
        <w:t xml:space="preserve"> Law d’Australie</w:t>
      </w:r>
      <w:r w:rsidR="00513046" w:rsidRPr="00513046">
        <w:rPr>
          <w:lang w:val="fr-CA"/>
        </w:rPr>
        <w:t xml:space="preserve"> a émis l’opinion que </w:t>
      </w:r>
      <w:r w:rsidR="00513046">
        <w:rPr>
          <w:lang w:val="fr-CA"/>
        </w:rPr>
        <w:t xml:space="preserve">les </w:t>
      </w:r>
      <w:r w:rsidR="00867769">
        <w:rPr>
          <w:lang w:val="fr-CA"/>
        </w:rPr>
        <w:t>gardiens de la paix</w:t>
      </w:r>
      <w:r w:rsidR="00513046" w:rsidRPr="00513046">
        <w:rPr>
          <w:lang w:val="fr-CA"/>
        </w:rPr>
        <w:t xml:space="preserve"> devrai</w:t>
      </w:r>
      <w:r w:rsidR="00513046">
        <w:rPr>
          <w:lang w:val="fr-CA"/>
        </w:rPr>
        <w:t>en</w:t>
      </w:r>
      <w:r w:rsidR="00513046" w:rsidRPr="00513046">
        <w:rPr>
          <w:lang w:val="fr-CA"/>
        </w:rPr>
        <w:t xml:space="preserve">t </w:t>
      </w:r>
      <w:r w:rsidR="00513046">
        <w:rPr>
          <w:lang w:val="fr-CA"/>
        </w:rPr>
        <w:t xml:space="preserve">en permanence porter </w:t>
      </w:r>
      <w:r w:rsidR="00CB08AD">
        <w:rPr>
          <w:lang w:val="fr-CA"/>
        </w:rPr>
        <w:t xml:space="preserve">un </w:t>
      </w:r>
      <w:r w:rsidR="00FA0E84">
        <w:rPr>
          <w:lang w:val="fr-CA"/>
        </w:rPr>
        <w:t xml:space="preserve">signe </w:t>
      </w:r>
      <w:r w:rsidR="006B010E">
        <w:rPr>
          <w:lang w:val="fr-CA"/>
        </w:rPr>
        <w:t>d</w:t>
      </w:r>
      <w:r w:rsidR="00FA0E84">
        <w:rPr>
          <w:lang w:val="fr-CA"/>
        </w:rPr>
        <w:t>’</w:t>
      </w:r>
      <w:r w:rsidR="00CB08AD">
        <w:rPr>
          <w:lang w:val="fr-CA"/>
        </w:rPr>
        <w:t>identifi</w:t>
      </w:r>
      <w:r w:rsidR="006B010E">
        <w:rPr>
          <w:lang w:val="fr-CA"/>
        </w:rPr>
        <w:t>cation</w:t>
      </w:r>
      <w:r w:rsidR="00D83081">
        <w:rPr>
          <w:lang w:val="fr-CA"/>
        </w:rPr>
        <w:t xml:space="preserve"> afin qu’on </w:t>
      </w:r>
      <w:r w:rsidR="00864194">
        <w:rPr>
          <w:lang w:val="fr-CA"/>
        </w:rPr>
        <w:t>puisse disposer d’un recours</w:t>
      </w:r>
      <w:r w:rsidR="006B010E">
        <w:rPr>
          <w:lang w:val="fr-CA"/>
        </w:rPr>
        <w:t xml:space="preserve"> </w:t>
      </w:r>
      <w:r w:rsidR="00864194">
        <w:rPr>
          <w:lang w:val="fr-CA"/>
        </w:rPr>
        <w:t>s’</w:t>
      </w:r>
      <w:r w:rsidR="00594B66">
        <w:rPr>
          <w:lang w:val="fr-CA"/>
        </w:rPr>
        <w:t>ils f</w:t>
      </w:r>
      <w:r w:rsidR="00864194">
        <w:rPr>
          <w:lang w:val="fr-CA"/>
        </w:rPr>
        <w:t>o</w:t>
      </w:r>
      <w:r w:rsidR="00594B66">
        <w:rPr>
          <w:lang w:val="fr-CA"/>
        </w:rPr>
        <w:t xml:space="preserve">nt un usage </w:t>
      </w:r>
      <w:r w:rsidR="00FA0E84">
        <w:rPr>
          <w:lang w:val="fr-CA"/>
        </w:rPr>
        <w:t xml:space="preserve">disproportionné </w:t>
      </w:r>
      <w:r w:rsidR="00594B66">
        <w:rPr>
          <w:lang w:val="fr-CA"/>
        </w:rPr>
        <w:t>de</w:t>
      </w:r>
      <w:r w:rsidR="00FA0E84">
        <w:rPr>
          <w:lang w:val="fr-CA"/>
        </w:rPr>
        <w:t xml:space="preserve"> la force</w:t>
      </w:r>
      <w:r w:rsidR="00D83081">
        <w:rPr>
          <w:lang w:val="fr-CA"/>
        </w:rPr>
        <w:t>. Il a insisté sur le fait qu</w:t>
      </w:r>
      <w:r w:rsidR="002D7E5C">
        <w:rPr>
          <w:lang w:val="fr-CA"/>
        </w:rPr>
        <w:t>’on devrait fournir</w:t>
      </w:r>
      <w:r w:rsidR="00D83081">
        <w:rPr>
          <w:lang w:val="fr-CA"/>
        </w:rPr>
        <w:t xml:space="preserve"> </w:t>
      </w:r>
      <w:r w:rsidR="008E3BFD">
        <w:rPr>
          <w:lang w:val="fr-CA"/>
        </w:rPr>
        <w:t xml:space="preserve">à la police </w:t>
      </w:r>
      <w:r w:rsidR="002D7E5C">
        <w:rPr>
          <w:lang w:val="fr-CA"/>
        </w:rPr>
        <w:t>des orientations sur les mécanismes appropriés de maintien de l’ordre</w:t>
      </w:r>
      <w:r w:rsidR="008E3BFD">
        <w:rPr>
          <w:lang w:val="fr-CA"/>
        </w:rPr>
        <w:t>.</w:t>
      </w:r>
      <w:r w:rsidR="002D7E5C">
        <w:rPr>
          <w:lang w:val="fr-CA"/>
        </w:rPr>
        <w:t xml:space="preserve"> </w:t>
      </w:r>
      <w:r w:rsidR="008E3BFD">
        <w:rPr>
          <w:lang w:val="fr-CA"/>
        </w:rPr>
        <w:t>Il</w:t>
      </w:r>
      <w:r w:rsidR="002D7E5C">
        <w:rPr>
          <w:lang w:val="fr-CA"/>
        </w:rPr>
        <w:t xml:space="preserve"> a </w:t>
      </w:r>
      <w:r w:rsidR="008E3BFD">
        <w:rPr>
          <w:lang w:val="fr-CA"/>
        </w:rPr>
        <w:t xml:space="preserve">aussi </w:t>
      </w:r>
      <w:r w:rsidR="002D7E5C">
        <w:rPr>
          <w:lang w:val="fr-CA"/>
        </w:rPr>
        <w:t xml:space="preserve">soulevé la question de </w:t>
      </w:r>
      <w:r w:rsidR="00442023">
        <w:rPr>
          <w:lang w:val="fr-CA"/>
        </w:rPr>
        <w:t xml:space="preserve">la réaction de la police </w:t>
      </w:r>
      <w:r w:rsidR="00867769">
        <w:rPr>
          <w:lang w:val="fr-CA"/>
        </w:rPr>
        <w:t>face aux actes de</w:t>
      </w:r>
      <w:r w:rsidR="00442023">
        <w:rPr>
          <w:lang w:val="fr-CA"/>
        </w:rPr>
        <w:t xml:space="preserve"> </w:t>
      </w:r>
      <w:r w:rsidR="002D7E5C">
        <w:rPr>
          <w:lang w:val="fr-CA"/>
        </w:rPr>
        <w:t>désobéissance civile.</w:t>
      </w:r>
      <w:r w:rsidR="00594B66">
        <w:rPr>
          <w:lang w:val="fr-CA"/>
        </w:rPr>
        <w:t xml:space="preserve"> Rappelant l’importance historique de </w:t>
      </w:r>
      <w:r w:rsidR="00867769">
        <w:rPr>
          <w:lang w:val="fr-CA"/>
        </w:rPr>
        <w:t>cette dernière</w:t>
      </w:r>
      <w:r w:rsidR="00594B66">
        <w:rPr>
          <w:lang w:val="fr-CA"/>
        </w:rPr>
        <w:t xml:space="preserve"> en tant que forme de protestation</w:t>
      </w:r>
      <w:r w:rsidR="008E3BFD">
        <w:rPr>
          <w:lang w:val="fr-CA"/>
        </w:rPr>
        <w:t>,</w:t>
      </w:r>
      <w:r w:rsidR="00867769">
        <w:rPr>
          <w:lang w:val="fr-CA"/>
        </w:rPr>
        <w:t xml:space="preserve"> même si elle n’est pas protégée dans le cadre de la législation nationale ou internationale en matière de droits de l’homme</w:t>
      </w:r>
      <w:r w:rsidR="00594B66">
        <w:rPr>
          <w:lang w:val="fr-CA"/>
        </w:rPr>
        <w:t xml:space="preserve">, il </w:t>
      </w:r>
      <w:r w:rsidR="00EE093D">
        <w:rPr>
          <w:lang w:val="fr-CA"/>
        </w:rPr>
        <w:t xml:space="preserve">a </w:t>
      </w:r>
      <w:r w:rsidR="00867769">
        <w:rPr>
          <w:lang w:val="fr-CA"/>
        </w:rPr>
        <w:t>recommand</w:t>
      </w:r>
      <w:r w:rsidR="00EE093D">
        <w:rPr>
          <w:lang w:val="fr-CA"/>
        </w:rPr>
        <w:t>é</w:t>
      </w:r>
      <w:r w:rsidR="00867769">
        <w:rPr>
          <w:lang w:val="fr-CA"/>
        </w:rPr>
        <w:t xml:space="preserve"> </w:t>
      </w:r>
      <w:r w:rsidR="00EE093D">
        <w:rPr>
          <w:lang w:val="fr-CA"/>
        </w:rPr>
        <w:t xml:space="preserve">que la punition de </w:t>
      </w:r>
      <w:r w:rsidR="008E3BFD">
        <w:rPr>
          <w:lang w:val="fr-CA"/>
        </w:rPr>
        <w:t xml:space="preserve">tels </w:t>
      </w:r>
      <w:r w:rsidR="00EE093D">
        <w:rPr>
          <w:lang w:val="fr-CA"/>
        </w:rPr>
        <w:t>actes soit proportionnée et que les protestataires ne soient pas montés en exemple.</w:t>
      </w:r>
    </w:p>
    <w:p w:rsidR="00EE093D" w:rsidRDefault="00EE093D" w:rsidP="00513046">
      <w:pPr>
        <w:pStyle w:val="ParNoG"/>
        <w:tabs>
          <w:tab w:val="clear" w:pos="1701"/>
        </w:tabs>
        <w:ind w:left="624"/>
        <w:rPr>
          <w:lang w:val="fr-CA"/>
        </w:rPr>
      </w:pPr>
      <w:r>
        <w:rPr>
          <w:lang w:val="fr-CA"/>
        </w:rPr>
        <w:t xml:space="preserve">La fondation espagnole </w:t>
      </w:r>
      <w:proofErr w:type="spellStart"/>
      <w:r>
        <w:rPr>
          <w:lang w:val="fr-CA"/>
        </w:rPr>
        <w:t>Intervida</w:t>
      </w:r>
      <w:proofErr w:type="spellEnd"/>
      <w:r>
        <w:rPr>
          <w:lang w:val="fr-CA"/>
        </w:rPr>
        <w:t xml:space="preserve"> a mis l’accent sur le fait que lors des manifestations pacifiques, il </w:t>
      </w:r>
      <w:r w:rsidR="00835830">
        <w:rPr>
          <w:lang w:val="fr-CA"/>
        </w:rPr>
        <w:t>est impératif d’</w:t>
      </w:r>
      <w:r>
        <w:rPr>
          <w:lang w:val="fr-CA"/>
        </w:rPr>
        <w:t xml:space="preserve">accorder aux individus de moins de 18 ans une protection particulière contre la violence et les traitements </w:t>
      </w:r>
      <w:r w:rsidR="00835830">
        <w:rPr>
          <w:lang w:val="fr-CA"/>
        </w:rPr>
        <w:t>dégradants ou inhumains.</w:t>
      </w:r>
    </w:p>
    <w:p w:rsidR="00835830" w:rsidRDefault="00835830" w:rsidP="00513046">
      <w:pPr>
        <w:pStyle w:val="ParNoG"/>
        <w:tabs>
          <w:tab w:val="clear" w:pos="1701"/>
        </w:tabs>
        <w:ind w:left="624"/>
        <w:rPr>
          <w:lang w:val="fr-CA"/>
        </w:rPr>
      </w:pPr>
      <w:r>
        <w:rPr>
          <w:lang w:val="fr-CA"/>
        </w:rPr>
        <w:t xml:space="preserve">Pour la fondation </w:t>
      </w:r>
      <w:proofErr w:type="spellStart"/>
      <w:r>
        <w:rPr>
          <w:lang w:val="fr-CA"/>
        </w:rPr>
        <w:t>Defending</w:t>
      </w:r>
      <w:proofErr w:type="spellEnd"/>
      <w:r>
        <w:rPr>
          <w:lang w:val="fr-CA"/>
        </w:rPr>
        <w:t xml:space="preserve"> Dissent, le rôle de la police lors des manifestations pacifiques devrait être de maintenir l’ordre</w:t>
      </w:r>
      <w:r w:rsidR="00BC7D90">
        <w:rPr>
          <w:lang w:val="fr-CA"/>
        </w:rPr>
        <w:t>,</w:t>
      </w:r>
      <w:r>
        <w:rPr>
          <w:lang w:val="fr-CA"/>
        </w:rPr>
        <w:t xml:space="preserve"> et </w:t>
      </w:r>
      <w:r w:rsidR="00FB473F">
        <w:rPr>
          <w:lang w:val="fr-CA"/>
        </w:rPr>
        <w:t xml:space="preserve">l’accent </w:t>
      </w:r>
      <w:r w:rsidR="00F55E1E">
        <w:rPr>
          <w:lang w:val="fr-CA"/>
        </w:rPr>
        <w:t xml:space="preserve">devrait être mis </w:t>
      </w:r>
      <w:r w:rsidR="00FB473F">
        <w:rPr>
          <w:lang w:val="fr-CA"/>
        </w:rPr>
        <w:t xml:space="preserve">sur </w:t>
      </w:r>
      <w:r>
        <w:rPr>
          <w:lang w:val="fr-CA"/>
        </w:rPr>
        <w:t xml:space="preserve">la communication </w:t>
      </w:r>
      <w:r w:rsidR="00FB473F">
        <w:rPr>
          <w:lang w:val="fr-CA"/>
        </w:rPr>
        <w:t>et</w:t>
      </w:r>
      <w:r>
        <w:rPr>
          <w:lang w:val="fr-CA"/>
        </w:rPr>
        <w:t xml:space="preserve"> le respect volontaire des </w:t>
      </w:r>
      <w:r w:rsidR="00F55E1E">
        <w:rPr>
          <w:lang w:val="fr-CA"/>
        </w:rPr>
        <w:t>loi</w:t>
      </w:r>
      <w:r>
        <w:rPr>
          <w:lang w:val="fr-CA"/>
        </w:rPr>
        <w:t>s</w:t>
      </w:r>
      <w:r w:rsidR="00FB473F">
        <w:rPr>
          <w:lang w:val="fr-CA"/>
        </w:rPr>
        <w:t xml:space="preserve">. Tous les représentants de la loi devraient porter </w:t>
      </w:r>
      <w:r w:rsidR="001C2FD5">
        <w:rPr>
          <w:lang w:val="fr-CA"/>
        </w:rPr>
        <w:t xml:space="preserve">ou afficher </w:t>
      </w:r>
      <w:r w:rsidR="0087793B">
        <w:rPr>
          <w:lang w:val="fr-CA"/>
        </w:rPr>
        <w:t xml:space="preserve">visiblement </w:t>
      </w:r>
      <w:r w:rsidR="00FB473F">
        <w:rPr>
          <w:lang w:val="fr-CA"/>
        </w:rPr>
        <w:t xml:space="preserve">un signe d’identification et aucun policier en civil ou informateur ne devrait se trouver dans foule. </w:t>
      </w:r>
      <w:r w:rsidR="001C2FD5">
        <w:rPr>
          <w:lang w:val="fr-CA"/>
        </w:rPr>
        <w:t>L</w:t>
      </w:r>
      <w:r w:rsidR="002C0D35">
        <w:rPr>
          <w:lang w:val="fr-CA"/>
        </w:rPr>
        <w:t xml:space="preserve">es </w:t>
      </w:r>
      <w:r w:rsidR="001C2FD5">
        <w:rPr>
          <w:lang w:val="fr-CA"/>
        </w:rPr>
        <w:t>effectif</w:t>
      </w:r>
      <w:r w:rsidR="002C0D35">
        <w:rPr>
          <w:lang w:val="fr-CA"/>
        </w:rPr>
        <w:t>s</w:t>
      </w:r>
      <w:r w:rsidR="001C2FD5">
        <w:rPr>
          <w:lang w:val="fr-CA"/>
        </w:rPr>
        <w:t xml:space="preserve"> déployé</w:t>
      </w:r>
      <w:r w:rsidR="002C0D35">
        <w:rPr>
          <w:lang w:val="fr-CA"/>
        </w:rPr>
        <w:t>s</w:t>
      </w:r>
      <w:r w:rsidR="001C2FD5">
        <w:rPr>
          <w:lang w:val="fr-CA"/>
        </w:rPr>
        <w:t xml:space="preserve"> ne devrai</w:t>
      </w:r>
      <w:r w:rsidR="002C0D35">
        <w:rPr>
          <w:lang w:val="fr-CA"/>
        </w:rPr>
        <w:t>en</w:t>
      </w:r>
      <w:r w:rsidR="001C2FD5">
        <w:rPr>
          <w:lang w:val="fr-CA"/>
        </w:rPr>
        <w:t>t pas être disproportionné</w:t>
      </w:r>
      <w:r w:rsidR="002C0D35">
        <w:rPr>
          <w:lang w:val="fr-CA"/>
        </w:rPr>
        <w:t>s</w:t>
      </w:r>
      <w:r w:rsidR="001C2FD5">
        <w:rPr>
          <w:lang w:val="fr-CA"/>
        </w:rPr>
        <w:t xml:space="preserve"> au regard du nombre de manifestants</w:t>
      </w:r>
      <w:r w:rsidR="008E3BFD">
        <w:rPr>
          <w:lang w:val="fr-CA"/>
        </w:rPr>
        <w:t xml:space="preserve"> et les armes utilisées devraient être </w:t>
      </w:r>
      <w:r w:rsidR="002C0D35">
        <w:rPr>
          <w:lang w:val="fr-CA"/>
        </w:rPr>
        <w:t xml:space="preserve">non </w:t>
      </w:r>
      <w:r w:rsidR="008E3BFD">
        <w:rPr>
          <w:lang w:val="fr-CA"/>
        </w:rPr>
        <w:t xml:space="preserve">létales. </w:t>
      </w:r>
      <w:r w:rsidR="00F83C9B">
        <w:rPr>
          <w:lang w:val="fr-CA"/>
        </w:rPr>
        <w:t>L</w:t>
      </w:r>
      <w:r w:rsidR="002C0D35">
        <w:rPr>
          <w:lang w:val="fr-CA"/>
        </w:rPr>
        <w:t xml:space="preserve">a police </w:t>
      </w:r>
      <w:r w:rsidR="00F83C9B">
        <w:rPr>
          <w:lang w:val="fr-CA"/>
        </w:rPr>
        <w:t xml:space="preserve">devrait </w:t>
      </w:r>
      <w:r w:rsidR="00B366EC">
        <w:rPr>
          <w:lang w:val="fr-CA"/>
        </w:rPr>
        <w:t xml:space="preserve">par ailleurs </w:t>
      </w:r>
      <w:r w:rsidR="00F83C9B">
        <w:rPr>
          <w:lang w:val="fr-CA"/>
        </w:rPr>
        <w:t>s’abstenir d</w:t>
      </w:r>
      <w:r w:rsidR="002C0D35">
        <w:rPr>
          <w:lang w:val="fr-CA"/>
        </w:rPr>
        <w:t>’utilis</w:t>
      </w:r>
      <w:r w:rsidR="00F83C9B">
        <w:rPr>
          <w:lang w:val="fr-CA"/>
        </w:rPr>
        <w:t>er</w:t>
      </w:r>
      <w:r w:rsidR="002C0D35">
        <w:rPr>
          <w:lang w:val="fr-CA"/>
        </w:rPr>
        <w:t xml:space="preserve"> d</w:t>
      </w:r>
      <w:r w:rsidR="00F83C9B">
        <w:rPr>
          <w:lang w:val="fr-CA"/>
        </w:rPr>
        <w:t xml:space="preserve">es </w:t>
      </w:r>
      <w:r w:rsidR="002C0D35">
        <w:rPr>
          <w:lang w:val="fr-CA"/>
        </w:rPr>
        <w:t>unités équestres pour le contrôle</w:t>
      </w:r>
      <w:r w:rsidR="00F83C9B">
        <w:rPr>
          <w:lang w:val="fr-CA"/>
        </w:rPr>
        <w:t xml:space="preserve"> des foules, de photographier ou filmer les manifestants pacifiques et de procéder à des arrestations ou dispersions préventives. </w:t>
      </w:r>
      <w:r w:rsidR="005E1217">
        <w:rPr>
          <w:lang w:val="fr-CA"/>
        </w:rPr>
        <w:t>L’enregistrement d</w:t>
      </w:r>
      <w:r w:rsidR="00F83C9B">
        <w:rPr>
          <w:lang w:val="fr-CA"/>
        </w:rPr>
        <w:t xml:space="preserve">es arrestations </w:t>
      </w:r>
      <w:r w:rsidR="005E1217">
        <w:rPr>
          <w:lang w:val="fr-CA"/>
        </w:rPr>
        <w:t xml:space="preserve">et le traitement des dossiers </w:t>
      </w:r>
      <w:r w:rsidR="00F83C9B">
        <w:rPr>
          <w:lang w:val="fr-CA"/>
        </w:rPr>
        <w:t xml:space="preserve">devraient </w:t>
      </w:r>
      <w:r w:rsidR="005E1217">
        <w:rPr>
          <w:lang w:val="fr-CA"/>
        </w:rPr>
        <w:t>dans tous les cas se faire sans délai</w:t>
      </w:r>
      <w:r w:rsidR="00B366EC">
        <w:rPr>
          <w:lang w:val="fr-CA"/>
        </w:rPr>
        <w:t xml:space="preserve"> et</w:t>
      </w:r>
      <w:r w:rsidR="005E1217">
        <w:rPr>
          <w:lang w:val="fr-CA"/>
        </w:rPr>
        <w:t xml:space="preserve"> les </w:t>
      </w:r>
      <w:r w:rsidR="00BC7D90">
        <w:rPr>
          <w:lang w:val="fr-CA"/>
        </w:rPr>
        <w:t>personnes placées en détention</w:t>
      </w:r>
      <w:r w:rsidR="005E1217">
        <w:rPr>
          <w:lang w:val="fr-CA"/>
        </w:rPr>
        <w:t xml:space="preserve"> </w:t>
      </w:r>
      <w:r w:rsidR="004725F2">
        <w:rPr>
          <w:lang w:val="fr-CA"/>
        </w:rPr>
        <w:t xml:space="preserve">provisoire </w:t>
      </w:r>
      <w:r w:rsidR="005E1217">
        <w:rPr>
          <w:lang w:val="fr-CA"/>
        </w:rPr>
        <w:t>devraient être informé</w:t>
      </w:r>
      <w:r w:rsidR="00BC7D90">
        <w:rPr>
          <w:lang w:val="fr-CA"/>
        </w:rPr>
        <w:t>e</w:t>
      </w:r>
      <w:r w:rsidR="005E1217">
        <w:rPr>
          <w:lang w:val="fr-CA"/>
        </w:rPr>
        <w:t>s de leurs droits au regard de la loi.</w:t>
      </w:r>
      <w:r w:rsidR="00B366EC">
        <w:rPr>
          <w:lang w:val="fr-CA"/>
        </w:rPr>
        <w:t xml:space="preserve"> La fondation s’est en outre prononcée contre l’utilisation de gaz lacrymogène, d’aérosol </w:t>
      </w:r>
      <w:proofErr w:type="spellStart"/>
      <w:r w:rsidR="00B366EC">
        <w:rPr>
          <w:lang w:val="fr-CA"/>
        </w:rPr>
        <w:t>capsique</w:t>
      </w:r>
      <w:proofErr w:type="spellEnd"/>
      <w:r w:rsidR="00B366EC">
        <w:rPr>
          <w:lang w:val="fr-CA"/>
        </w:rPr>
        <w:t xml:space="preserve"> et d’autres armes </w:t>
      </w:r>
      <w:r w:rsidR="00FE3300">
        <w:rPr>
          <w:lang w:val="fr-CA"/>
        </w:rPr>
        <w:t>« </w:t>
      </w:r>
      <w:r w:rsidR="00B366EC">
        <w:rPr>
          <w:lang w:val="fr-CA"/>
        </w:rPr>
        <w:t xml:space="preserve">non </w:t>
      </w:r>
      <w:r w:rsidR="00FE3300">
        <w:rPr>
          <w:lang w:val="fr-CA"/>
        </w:rPr>
        <w:t>meurtrières » sur des manifestants pacifiques.</w:t>
      </w:r>
    </w:p>
    <w:p w:rsidR="00835830" w:rsidRDefault="00FE3300" w:rsidP="00513046">
      <w:pPr>
        <w:pStyle w:val="ParNoG"/>
        <w:tabs>
          <w:tab w:val="clear" w:pos="1701"/>
        </w:tabs>
        <w:ind w:left="624"/>
        <w:rPr>
          <w:lang w:val="fr-CA"/>
        </w:rPr>
      </w:pPr>
      <w:r>
        <w:rPr>
          <w:lang w:val="fr-CA"/>
        </w:rPr>
        <w:t>L’Office panaméen de la protection du citoyen a mis en relief l’importance du dialogue et de la concertation avec toutes les parties concernées, qui contribuent à la protection des droits de l’homme lors des manifestations pacifiques. L’Oman a également souligné l’importance de la communication avec les pouvoirs publics lors des manifestations.</w:t>
      </w:r>
    </w:p>
    <w:p w:rsidR="00835830" w:rsidRDefault="00FE3300" w:rsidP="00FB473F">
      <w:pPr>
        <w:pStyle w:val="ParNoG"/>
        <w:tabs>
          <w:tab w:val="clear" w:pos="1701"/>
        </w:tabs>
        <w:ind w:left="624"/>
        <w:rPr>
          <w:lang w:val="fr-CA"/>
        </w:rPr>
      </w:pPr>
      <w:r>
        <w:rPr>
          <w:lang w:val="fr-CA"/>
        </w:rPr>
        <w:t xml:space="preserve">Diverses ONG </w:t>
      </w:r>
      <w:r w:rsidR="00E03672">
        <w:rPr>
          <w:lang w:val="fr-CA"/>
        </w:rPr>
        <w:t>se sont inquiétées de</w:t>
      </w:r>
      <w:r>
        <w:rPr>
          <w:lang w:val="fr-CA"/>
        </w:rPr>
        <w:t xml:space="preserve"> l’utilisation abusive d</w:t>
      </w:r>
      <w:r w:rsidR="0022343C">
        <w:rPr>
          <w:lang w:val="fr-CA"/>
        </w:rPr>
        <w:t xml:space="preserve">es </w:t>
      </w:r>
      <w:r>
        <w:rPr>
          <w:lang w:val="fr-CA"/>
        </w:rPr>
        <w:t>armes non létales</w:t>
      </w:r>
      <w:r w:rsidR="00E03672">
        <w:rPr>
          <w:lang w:val="fr-CA"/>
        </w:rPr>
        <w:t>.</w:t>
      </w:r>
      <w:r>
        <w:rPr>
          <w:lang w:val="fr-CA"/>
        </w:rPr>
        <w:t xml:space="preserve"> </w:t>
      </w:r>
      <w:r w:rsidR="00E03672">
        <w:rPr>
          <w:lang w:val="fr-CA"/>
        </w:rPr>
        <w:t xml:space="preserve">L’association </w:t>
      </w:r>
      <w:r w:rsidR="00835830" w:rsidRPr="00835830">
        <w:rPr>
          <w:lang w:val="fr-CA"/>
        </w:rPr>
        <w:t>Médecins pour les droits de l'homme</w:t>
      </w:r>
      <w:r w:rsidR="00E03672">
        <w:rPr>
          <w:lang w:val="fr-CA"/>
        </w:rPr>
        <w:t xml:space="preserve"> et le </w:t>
      </w:r>
      <w:proofErr w:type="spellStart"/>
      <w:r w:rsidR="00E03672" w:rsidRPr="00513046">
        <w:rPr>
          <w:lang w:val="fr-CA"/>
        </w:rPr>
        <w:t>Castan</w:t>
      </w:r>
      <w:proofErr w:type="spellEnd"/>
      <w:r w:rsidR="00E03672" w:rsidRPr="00513046">
        <w:rPr>
          <w:lang w:val="fr-CA"/>
        </w:rPr>
        <w:t xml:space="preserve"> Centre for </w:t>
      </w:r>
      <w:proofErr w:type="spellStart"/>
      <w:r w:rsidR="00E03672" w:rsidRPr="00513046">
        <w:rPr>
          <w:lang w:val="fr-CA"/>
        </w:rPr>
        <w:t>Human</w:t>
      </w:r>
      <w:proofErr w:type="spellEnd"/>
      <w:r w:rsidR="00E03672" w:rsidRPr="00513046">
        <w:rPr>
          <w:lang w:val="fr-CA"/>
        </w:rPr>
        <w:t xml:space="preserve"> </w:t>
      </w:r>
      <w:proofErr w:type="spellStart"/>
      <w:r w:rsidR="00E03672" w:rsidRPr="00513046">
        <w:rPr>
          <w:lang w:val="fr-CA"/>
        </w:rPr>
        <w:t>Rights</w:t>
      </w:r>
      <w:proofErr w:type="spellEnd"/>
      <w:r w:rsidR="00E03672" w:rsidRPr="00513046">
        <w:rPr>
          <w:lang w:val="fr-CA"/>
        </w:rPr>
        <w:t xml:space="preserve"> Law</w:t>
      </w:r>
      <w:r w:rsidR="00E03672">
        <w:rPr>
          <w:lang w:val="fr-CA"/>
        </w:rPr>
        <w:t xml:space="preserve"> ont exprimé des préoccupations particulières concernant certaines armes antiémeutes</w:t>
      </w:r>
      <w:r w:rsidR="00964347">
        <w:rPr>
          <w:lang w:val="fr-CA"/>
        </w:rPr>
        <w:t>, dont celles utilisant des balles en caoutchouc, du gaz lacrymogène, des chevrotines et des impulsions électriques (</w:t>
      </w:r>
      <w:proofErr w:type="spellStart"/>
      <w:r w:rsidR="00964347">
        <w:rPr>
          <w:lang w:val="fr-CA"/>
        </w:rPr>
        <w:t>tasers</w:t>
      </w:r>
      <w:proofErr w:type="spellEnd"/>
      <w:r w:rsidR="00964347">
        <w:rPr>
          <w:lang w:val="fr-CA"/>
        </w:rPr>
        <w:t xml:space="preserve">). </w:t>
      </w:r>
      <w:r w:rsidR="00964347" w:rsidRPr="00835830">
        <w:rPr>
          <w:lang w:val="fr-CA"/>
        </w:rPr>
        <w:t>Médecins pour les droits de l'homme</w:t>
      </w:r>
      <w:r w:rsidR="00964347">
        <w:rPr>
          <w:lang w:val="fr-CA"/>
        </w:rPr>
        <w:t xml:space="preserve"> </w:t>
      </w:r>
      <w:r w:rsidR="00FC3302">
        <w:rPr>
          <w:lang w:val="fr-CA"/>
        </w:rPr>
        <w:t>a recommandé aux États de veiller à ce que les manifestants et agents de sécurité blessés puissent accéder à des soins médicaux et de protéger la neutralité médicale des professionnels de la santé chargés de les traiter.</w:t>
      </w:r>
    </w:p>
    <w:p w:rsidR="00FC3302" w:rsidRDefault="00FC3302" w:rsidP="005C5F0D">
      <w:pPr>
        <w:pStyle w:val="ParNoG"/>
        <w:tabs>
          <w:tab w:val="clear" w:pos="1701"/>
          <w:tab w:val="num" w:pos="1191"/>
        </w:tabs>
        <w:ind w:left="624"/>
        <w:rPr>
          <w:lang w:val="fr-CA"/>
        </w:rPr>
      </w:pPr>
      <w:r w:rsidRPr="00224401">
        <w:rPr>
          <w:lang w:val="fr-CA"/>
        </w:rPr>
        <w:t>Le Network for Police Monitoring (</w:t>
      </w:r>
      <w:proofErr w:type="spellStart"/>
      <w:r w:rsidRPr="00224401">
        <w:rPr>
          <w:lang w:val="fr-CA"/>
        </w:rPr>
        <w:t>Netpol</w:t>
      </w:r>
      <w:proofErr w:type="spellEnd"/>
      <w:r w:rsidRPr="00224401">
        <w:rPr>
          <w:lang w:val="fr-CA"/>
        </w:rPr>
        <w:t>)</w:t>
      </w:r>
      <w:r w:rsidR="0022343C" w:rsidRPr="00224401">
        <w:rPr>
          <w:lang w:val="fr-CA"/>
        </w:rPr>
        <w:t>, réseau qui assure une surveillance des pratiques policières, s’est penché sur la tactique d</w:t>
      </w:r>
      <w:r w:rsidR="005C5F0D">
        <w:rPr>
          <w:lang w:val="fr-CA"/>
        </w:rPr>
        <w:t>e l’</w:t>
      </w:r>
      <w:r w:rsidR="00224401" w:rsidRPr="00224401">
        <w:rPr>
          <w:lang w:val="fr-CA"/>
        </w:rPr>
        <w:t>établissement d’un cordon pour</w:t>
      </w:r>
      <w:r w:rsidR="00821C31" w:rsidRPr="00224401">
        <w:rPr>
          <w:lang w:val="fr-CA"/>
        </w:rPr>
        <w:t xml:space="preserve"> isoler un groupe de personnes comprenant des manifestants et de simples passants</w:t>
      </w:r>
      <w:r w:rsidR="00224401" w:rsidRPr="00224401">
        <w:rPr>
          <w:lang w:val="fr-CA"/>
        </w:rPr>
        <w:t xml:space="preserve"> pendant plusieurs heures</w:t>
      </w:r>
      <w:r w:rsidR="00821C31" w:rsidRPr="00224401">
        <w:rPr>
          <w:lang w:val="fr-CA"/>
        </w:rPr>
        <w:t xml:space="preserve">, </w:t>
      </w:r>
      <w:r w:rsidR="00BC7D90">
        <w:rPr>
          <w:lang w:val="fr-CA"/>
        </w:rPr>
        <w:t xml:space="preserve">tactique </w:t>
      </w:r>
      <w:r w:rsidR="005C5F0D">
        <w:rPr>
          <w:lang w:val="fr-CA"/>
        </w:rPr>
        <w:t xml:space="preserve">connue sous le nom de </w:t>
      </w:r>
      <w:r w:rsidR="005C5F0D" w:rsidRPr="00224401">
        <w:rPr>
          <w:lang w:val="fr-CA"/>
        </w:rPr>
        <w:t>« </w:t>
      </w:r>
      <w:proofErr w:type="spellStart"/>
      <w:r w:rsidR="005C5F0D" w:rsidRPr="00224401">
        <w:rPr>
          <w:lang w:val="fr-CA"/>
        </w:rPr>
        <w:t>kettling</w:t>
      </w:r>
      <w:proofErr w:type="spellEnd"/>
      <w:r w:rsidR="005C5F0D" w:rsidRPr="00224401">
        <w:rPr>
          <w:lang w:val="fr-CA"/>
        </w:rPr>
        <w:t> »</w:t>
      </w:r>
      <w:r w:rsidR="005C5F0D">
        <w:rPr>
          <w:lang w:val="fr-CA"/>
        </w:rPr>
        <w:t>, que</w:t>
      </w:r>
      <w:r w:rsidR="00821C31" w:rsidRPr="00224401">
        <w:rPr>
          <w:lang w:val="fr-CA"/>
        </w:rPr>
        <w:t xml:space="preserve"> la police </w:t>
      </w:r>
      <w:r w:rsidR="005C5F0D">
        <w:rPr>
          <w:lang w:val="fr-CA"/>
        </w:rPr>
        <w:t xml:space="preserve">utilise </w:t>
      </w:r>
      <w:r w:rsidR="00224401" w:rsidRPr="00224401">
        <w:rPr>
          <w:lang w:val="fr-CA"/>
        </w:rPr>
        <w:t>comme</w:t>
      </w:r>
      <w:r w:rsidR="00821C31" w:rsidRPr="00224401">
        <w:rPr>
          <w:lang w:val="fr-CA"/>
        </w:rPr>
        <w:t xml:space="preserve"> mesure de maintien de l’ordre. </w:t>
      </w:r>
      <w:r w:rsidR="00224401" w:rsidRPr="00224401">
        <w:rPr>
          <w:lang w:val="fr-CA"/>
        </w:rPr>
        <w:t>La Cour européenne des droits de l’homme a jugé que cette pratique ne constitue pas une violation de la Convention lorsqu’elle est</w:t>
      </w:r>
      <w:r w:rsidR="00224401">
        <w:rPr>
          <w:lang w:val="fr-CA"/>
        </w:rPr>
        <w:t xml:space="preserve"> </w:t>
      </w:r>
      <w:r w:rsidR="00224401" w:rsidRPr="00224401">
        <w:rPr>
          <w:lang w:val="fr-CA"/>
        </w:rPr>
        <w:t>nécessaire</w:t>
      </w:r>
      <w:r w:rsidR="00224401">
        <w:rPr>
          <w:lang w:val="fr-CA"/>
        </w:rPr>
        <w:t xml:space="preserve"> « </w:t>
      </w:r>
      <w:r w:rsidR="00224401" w:rsidRPr="00224401">
        <w:rPr>
          <w:lang w:val="fr-CA"/>
        </w:rPr>
        <w:t>pour prévenir un risque réel d’atteintes graves aux personnes ou aux biens</w:t>
      </w:r>
      <w:r w:rsidR="00224401">
        <w:rPr>
          <w:lang w:val="fr-CA"/>
        </w:rPr>
        <w:t> » et qu’elle constitue « le moyen le moins intrusif et le plus efficace »</w:t>
      </w:r>
      <w:r w:rsidR="005C5F0D">
        <w:rPr>
          <w:lang w:val="fr-CA"/>
        </w:rPr>
        <w:t xml:space="preserve"> disponible</w:t>
      </w:r>
      <w:r w:rsidR="005C5F0D">
        <w:rPr>
          <w:rStyle w:val="Appelnotedebasdep"/>
        </w:rPr>
        <w:footnoteReference w:id="27"/>
      </w:r>
      <w:r w:rsidR="005C5F0D">
        <w:rPr>
          <w:lang w:val="fr-CA"/>
        </w:rPr>
        <w:t xml:space="preserve">. Bien qu’il </w:t>
      </w:r>
      <w:r w:rsidR="00807F35">
        <w:rPr>
          <w:lang w:val="fr-CA"/>
        </w:rPr>
        <w:t>reconnaisse</w:t>
      </w:r>
      <w:r w:rsidR="005C5F0D">
        <w:rPr>
          <w:lang w:val="fr-CA"/>
        </w:rPr>
        <w:t xml:space="preserve"> la légalité </w:t>
      </w:r>
      <w:r w:rsidR="00807F35">
        <w:rPr>
          <w:lang w:val="fr-CA"/>
        </w:rPr>
        <w:t xml:space="preserve">de </w:t>
      </w:r>
      <w:r w:rsidR="00723035">
        <w:rPr>
          <w:lang w:val="fr-CA"/>
        </w:rPr>
        <w:t>la tactique policière du</w:t>
      </w:r>
      <w:r w:rsidR="00807F35">
        <w:rPr>
          <w:lang w:val="fr-CA"/>
        </w:rPr>
        <w:t xml:space="preserve"> confinement dans les situations où des </w:t>
      </w:r>
      <w:r w:rsidR="00723035">
        <w:rPr>
          <w:lang w:val="fr-CA"/>
        </w:rPr>
        <w:t xml:space="preserve">risques de </w:t>
      </w:r>
      <w:r w:rsidR="00807F35">
        <w:rPr>
          <w:lang w:val="fr-CA"/>
        </w:rPr>
        <w:t xml:space="preserve">violences graves </w:t>
      </w:r>
      <w:r w:rsidR="00723035">
        <w:rPr>
          <w:lang w:val="fr-CA"/>
        </w:rPr>
        <w:t>existent</w:t>
      </w:r>
      <w:r w:rsidR="00807F35">
        <w:rPr>
          <w:lang w:val="fr-CA"/>
        </w:rPr>
        <w:t xml:space="preserve">, </w:t>
      </w:r>
      <w:proofErr w:type="spellStart"/>
      <w:r w:rsidR="00807F35">
        <w:rPr>
          <w:lang w:val="fr-CA"/>
        </w:rPr>
        <w:t>Netpol</w:t>
      </w:r>
      <w:proofErr w:type="spellEnd"/>
      <w:r w:rsidR="00807F35">
        <w:rPr>
          <w:lang w:val="fr-CA"/>
        </w:rPr>
        <w:t xml:space="preserve"> a relevé qu’elle </w:t>
      </w:r>
      <w:r w:rsidR="00723035">
        <w:rPr>
          <w:lang w:val="fr-CA"/>
        </w:rPr>
        <w:t>es</w:t>
      </w:r>
      <w:r w:rsidR="00807F35">
        <w:rPr>
          <w:lang w:val="fr-CA"/>
        </w:rPr>
        <w:t>t souvent utilisée lors des manifestations pacifiques spontanées ou non autorisées</w:t>
      </w:r>
      <w:r w:rsidR="00723035">
        <w:rPr>
          <w:lang w:val="fr-CA"/>
        </w:rPr>
        <w:t>,</w:t>
      </w:r>
      <w:r w:rsidR="00807F35">
        <w:rPr>
          <w:lang w:val="fr-CA"/>
        </w:rPr>
        <w:t xml:space="preserve"> </w:t>
      </w:r>
      <w:r w:rsidR="00723035">
        <w:rPr>
          <w:lang w:val="fr-CA"/>
        </w:rPr>
        <w:t xml:space="preserve">ce qui laisse craindre </w:t>
      </w:r>
      <w:r w:rsidR="007432B3">
        <w:rPr>
          <w:lang w:val="fr-CA"/>
        </w:rPr>
        <w:t>son application à des fins sortant du cadre étroit prévu initialement. Il a en outre laissé entendre que les tactiques policières comme le confinement ou l</w:t>
      </w:r>
      <w:r w:rsidR="00A82666">
        <w:rPr>
          <w:lang w:val="fr-CA"/>
        </w:rPr>
        <w:t>a fouille préventive servent souvent à rassembler des informations personnelles sur les manifestants. Il a soutenu que la collecte et le traitement de telles informations ne disposent pas d’un fondement adéquat en droit et sont de nature à refroidir la participation à des activités contestataires.</w:t>
      </w:r>
    </w:p>
    <w:p w:rsidR="00A82666" w:rsidRDefault="00B4417F" w:rsidP="005C5F0D">
      <w:pPr>
        <w:pStyle w:val="ParNoG"/>
        <w:tabs>
          <w:tab w:val="clear" w:pos="1701"/>
          <w:tab w:val="num" w:pos="1191"/>
        </w:tabs>
        <w:ind w:left="624"/>
        <w:rPr>
          <w:lang w:val="fr-CA"/>
        </w:rPr>
      </w:pPr>
      <w:r>
        <w:rPr>
          <w:lang w:val="fr-CA"/>
        </w:rPr>
        <w:t xml:space="preserve">L’Institut danois pour les droits de l’homme a soulevé la question du traitement </w:t>
      </w:r>
      <w:r w:rsidR="00D30C56">
        <w:rPr>
          <w:lang w:val="fr-CA"/>
        </w:rPr>
        <w:t xml:space="preserve">auquel </w:t>
      </w:r>
      <w:r w:rsidR="0039528F">
        <w:rPr>
          <w:lang w:val="fr-CA"/>
        </w:rPr>
        <w:t>l</w:t>
      </w:r>
      <w:r>
        <w:rPr>
          <w:lang w:val="fr-CA"/>
        </w:rPr>
        <w:t xml:space="preserve">e </w:t>
      </w:r>
      <w:r w:rsidR="0039528F">
        <w:rPr>
          <w:lang w:val="fr-CA"/>
        </w:rPr>
        <w:t xml:space="preserve">grand nombre de </w:t>
      </w:r>
      <w:r>
        <w:rPr>
          <w:lang w:val="fr-CA"/>
        </w:rPr>
        <w:t xml:space="preserve">personnes placées en détention provisoire </w:t>
      </w:r>
      <w:r w:rsidR="0039528F">
        <w:rPr>
          <w:lang w:val="fr-CA"/>
        </w:rPr>
        <w:t>lors des</w:t>
      </w:r>
      <w:r w:rsidR="00D30C56">
        <w:rPr>
          <w:lang w:val="fr-CA"/>
        </w:rPr>
        <w:t xml:space="preserve"> manifestation</w:t>
      </w:r>
      <w:r w:rsidR="0039528F">
        <w:rPr>
          <w:lang w:val="fr-CA"/>
        </w:rPr>
        <w:t>s</w:t>
      </w:r>
      <w:r w:rsidR="00D30C56">
        <w:rPr>
          <w:lang w:val="fr-CA"/>
        </w:rPr>
        <w:t xml:space="preserve"> sont soumises au Danemark, citant en particulier un cas où </w:t>
      </w:r>
      <w:r w:rsidR="0039528F">
        <w:rPr>
          <w:lang w:val="fr-CA"/>
        </w:rPr>
        <w:t>les détenus se sont vu refuser l’</w:t>
      </w:r>
      <w:r w:rsidR="00D30C56">
        <w:rPr>
          <w:lang w:val="fr-CA"/>
        </w:rPr>
        <w:t xml:space="preserve">accès aux toilettes et ont dû </w:t>
      </w:r>
      <w:r w:rsidR="0039528F">
        <w:rPr>
          <w:lang w:val="fr-CA"/>
        </w:rPr>
        <w:t>attendre à l’extérieur, dans le froid, pendant plusieurs heures.</w:t>
      </w:r>
    </w:p>
    <w:p w:rsidR="0039528F" w:rsidRDefault="0039528F" w:rsidP="00717BE8">
      <w:pPr>
        <w:pStyle w:val="ParNoG"/>
        <w:tabs>
          <w:tab w:val="clear" w:pos="1701"/>
          <w:tab w:val="num" w:pos="1191"/>
        </w:tabs>
        <w:ind w:left="624"/>
        <w:rPr>
          <w:lang w:val="fr-CA"/>
        </w:rPr>
      </w:pPr>
      <w:r w:rsidRPr="00717BE8">
        <w:rPr>
          <w:lang w:val="fr-CA"/>
        </w:rPr>
        <w:t>Le Secrétariat du Commonwealth</w:t>
      </w:r>
      <w:r>
        <w:rPr>
          <w:rStyle w:val="Appelnotedebasdep"/>
        </w:rPr>
        <w:footnoteReference w:id="28"/>
      </w:r>
      <w:r w:rsidRPr="00717BE8">
        <w:rPr>
          <w:lang w:val="fr-CA"/>
        </w:rPr>
        <w:t xml:space="preserve"> recommande que les agents de police </w:t>
      </w:r>
      <w:r w:rsidR="0068349D">
        <w:rPr>
          <w:lang w:val="fr-CA"/>
        </w:rPr>
        <w:t>déployé</w:t>
      </w:r>
      <w:r w:rsidRPr="00717BE8">
        <w:rPr>
          <w:lang w:val="fr-CA"/>
        </w:rPr>
        <w:t>s lors des manifestations appliquent les principes de proportionnalité, légalité, responsabilité et nécessité</w:t>
      </w:r>
      <w:r w:rsidR="00717BE8" w:rsidRPr="00717BE8">
        <w:rPr>
          <w:lang w:val="fr-CA"/>
        </w:rPr>
        <w:t xml:space="preserve">. Le Rapporteur spécial sur le droit de réunion pacifique et la liberté d’association </w:t>
      </w:r>
      <w:r w:rsidR="0047353B">
        <w:rPr>
          <w:lang w:val="fr-CA"/>
        </w:rPr>
        <w:t>a exprimé l’</w:t>
      </w:r>
      <w:r w:rsidR="00717BE8" w:rsidRPr="00717BE8">
        <w:rPr>
          <w:lang w:val="fr-CA"/>
        </w:rPr>
        <w:t xml:space="preserve">avis que les organisateurs de manifestations ne devraient subir aucune charge financière pour les services publics fournis lors d’une réunion et </w:t>
      </w:r>
      <w:r w:rsidR="00717BE8">
        <w:rPr>
          <w:lang w:val="fr-CA"/>
        </w:rPr>
        <w:t>que</w:t>
      </w:r>
      <w:r w:rsidR="00717BE8" w:rsidRPr="00717BE8">
        <w:rPr>
          <w:lang w:val="fr-CA"/>
        </w:rPr>
        <w:t xml:space="preserve"> les organisateurs de réunions </w:t>
      </w:r>
      <w:r w:rsidR="00717BE8">
        <w:rPr>
          <w:lang w:val="fr-CA"/>
        </w:rPr>
        <w:t>et</w:t>
      </w:r>
      <w:r w:rsidR="00717BE8" w:rsidRPr="00717BE8">
        <w:rPr>
          <w:lang w:val="fr-CA"/>
        </w:rPr>
        <w:t xml:space="preserve"> les participants</w:t>
      </w:r>
      <w:r w:rsidR="00717BE8">
        <w:rPr>
          <w:lang w:val="fr-CA"/>
        </w:rPr>
        <w:t xml:space="preserve"> </w:t>
      </w:r>
      <w:r w:rsidR="00717BE8" w:rsidRPr="00717BE8">
        <w:rPr>
          <w:lang w:val="fr-CA"/>
        </w:rPr>
        <w:t xml:space="preserve">ne devraient </w:t>
      </w:r>
      <w:r w:rsidR="00717BE8">
        <w:rPr>
          <w:lang w:val="fr-CA"/>
        </w:rPr>
        <w:t xml:space="preserve">pas </w:t>
      </w:r>
      <w:r w:rsidR="00717BE8" w:rsidRPr="00717BE8">
        <w:rPr>
          <w:lang w:val="fr-CA"/>
        </w:rPr>
        <w:t>être tenus responsables des actes</w:t>
      </w:r>
      <w:r w:rsidR="00717BE8">
        <w:rPr>
          <w:lang w:val="fr-CA"/>
        </w:rPr>
        <w:t xml:space="preserve"> </w:t>
      </w:r>
      <w:r w:rsidR="00717BE8" w:rsidRPr="00717BE8">
        <w:rPr>
          <w:lang w:val="fr-CA"/>
        </w:rPr>
        <w:t>illicites</w:t>
      </w:r>
      <w:r w:rsidR="00717BE8">
        <w:rPr>
          <w:lang w:val="fr-CA"/>
        </w:rPr>
        <w:t xml:space="preserve"> </w:t>
      </w:r>
      <w:r w:rsidR="00717BE8" w:rsidRPr="00717BE8">
        <w:rPr>
          <w:lang w:val="fr-CA"/>
        </w:rPr>
        <w:t>commis</w:t>
      </w:r>
      <w:r w:rsidR="00717BE8">
        <w:rPr>
          <w:lang w:val="fr-CA"/>
        </w:rPr>
        <w:t xml:space="preserve"> </w:t>
      </w:r>
      <w:r w:rsidR="00717BE8" w:rsidRPr="00717BE8">
        <w:rPr>
          <w:lang w:val="fr-CA"/>
        </w:rPr>
        <w:t>par</w:t>
      </w:r>
      <w:r w:rsidR="00717BE8">
        <w:rPr>
          <w:lang w:val="fr-CA"/>
        </w:rPr>
        <w:t xml:space="preserve"> </w:t>
      </w:r>
      <w:r w:rsidR="00717BE8" w:rsidRPr="00717BE8">
        <w:rPr>
          <w:lang w:val="fr-CA"/>
        </w:rPr>
        <w:t>autrui</w:t>
      </w:r>
      <w:r w:rsidR="00717BE8">
        <w:rPr>
          <w:lang w:val="fr-CA"/>
        </w:rPr>
        <w:t xml:space="preserve"> ni</w:t>
      </w:r>
      <w:r w:rsidR="00717BE8" w:rsidRPr="00717BE8">
        <w:rPr>
          <w:lang w:val="fr-CA"/>
        </w:rPr>
        <w:t xml:space="preserve"> être tenus d’assurer le</w:t>
      </w:r>
      <w:r w:rsidR="00717BE8">
        <w:rPr>
          <w:lang w:val="fr-CA"/>
        </w:rPr>
        <w:t xml:space="preserve"> </w:t>
      </w:r>
      <w:r w:rsidR="00717BE8" w:rsidRPr="00717BE8">
        <w:rPr>
          <w:lang w:val="fr-CA"/>
        </w:rPr>
        <w:t xml:space="preserve">maintien de l’ordre </w:t>
      </w:r>
      <w:r w:rsidR="00717BE8">
        <w:rPr>
          <w:lang w:val="fr-CA"/>
        </w:rPr>
        <w:t>public</w:t>
      </w:r>
      <w:r w:rsidR="00053ED2">
        <w:rPr>
          <w:rStyle w:val="Appelnotedebasdep"/>
        </w:rPr>
        <w:footnoteReference w:id="29"/>
      </w:r>
      <w:r w:rsidR="00717BE8">
        <w:rPr>
          <w:lang w:val="fr-CA"/>
        </w:rPr>
        <w:t>.</w:t>
      </w:r>
    </w:p>
    <w:p w:rsidR="00EB582B" w:rsidRPr="00EB582B" w:rsidRDefault="00EB582B" w:rsidP="004711C3">
      <w:pPr>
        <w:pStyle w:val="ParNoG"/>
        <w:keepNext/>
        <w:keepLines/>
        <w:numPr>
          <w:ilvl w:val="0"/>
          <w:numId w:val="0"/>
        </w:numPr>
        <w:ind w:left="624"/>
        <w:rPr>
          <w:b/>
          <w:lang w:val="fr-CA"/>
        </w:rPr>
      </w:pPr>
      <w:r w:rsidRPr="00EB582B">
        <w:rPr>
          <w:b/>
          <w:lang w:val="fr-CA"/>
        </w:rPr>
        <w:t xml:space="preserve">Enquêtes sur les actes de violence et la responsabilité </w:t>
      </w:r>
      <w:r w:rsidR="00FB7DE2">
        <w:rPr>
          <w:b/>
          <w:lang w:val="fr-CA"/>
        </w:rPr>
        <w:t>connexe</w:t>
      </w:r>
    </w:p>
    <w:p w:rsidR="00EB582B" w:rsidRDefault="00FB7DE2" w:rsidP="004711C3">
      <w:pPr>
        <w:pStyle w:val="ParNoG"/>
        <w:keepNext/>
        <w:keepLines/>
        <w:tabs>
          <w:tab w:val="clear" w:pos="1701"/>
          <w:tab w:val="num" w:pos="1191"/>
        </w:tabs>
        <w:ind w:left="624"/>
        <w:rPr>
          <w:lang w:val="fr-CA"/>
        </w:rPr>
      </w:pPr>
      <w:r>
        <w:rPr>
          <w:lang w:val="fr-CA"/>
        </w:rPr>
        <w:t xml:space="preserve">La </w:t>
      </w:r>
      <w:r w:rsidR="00F61A93">
        <w:rPr>
          <w:lang w:val="fr-CA"/>
        </w:rPr>
        <w:t>Commission nationale indienne des droits de l’homme et la Commission sud-africaine des droits de l’homme ont indiqué que leur rôle est d’enquêter et de formuler des conclusions et recommandations sur les cas de violence grave, y compris les décès</w:t>
      </w:r>
      <w:r w:rsidR="00BC7D90">
        <w:rPr>
          <w:lang w:val="fr-CA"/>
        </w:rPr>
        <w:t>,</w:t>
      </w:r>
      <w:r w:rsidR="00F61A93">
        <w:rPr>
          <w:lang w:val="fr-CA"/>
        </w:rPr>
        <w:t xml:space="preserve"> survenus </w:t>
      </w:r>
      <w:r w:rsidR="00CB769F">
        <w:rPr>
          <w:lang w:val="fr-CA"/>
        </w:rPr>
        <w:t xml:space="preserve">lors de manifestations. Selon elles, leurs institutions devraient </w:t>
      </w:r>
      <w:r w:rsidR="009478E4">
        <w:rPr>
          <w:lang w:val="fr-CA"/>
        </w:rPr>
        <w:t>engager</w:t>
      </w:r>
      <w:r w:rsidR="00CB769F">
        <w:rPr>
          <w:lang w:val="fr-CA"/>
        </w:rPr>
        <w:t xml:space="preserve"> un dialogue public</w:t>
      </w:r>
      <w:r w:rsidR="009478E4">
        <w:rPr>
          <w:lang w:val="fr-CA"/>
        </w:rPr>
        <w:t xml:space="preserve"> sur les </w:t>
      </w:r>
      <w:r w:rsidR="00C575E1">
        <w:rPr>
          <w:lang w:val="fr-CA"/>
        </w:rPr>
        <w:t>questions conduisant à</w:t>
      </w:r>
      <w:r w:rsidR="009478E4">
        <w:rPr>
          <w:lang w:val="fr-CA"/>
        </w:rPr>
        <w:t xml:space="preserve"> des manifestations et les </w:t>
      </w:r>
      <w:r w:rsidR="00C575E1">
        <w:rPr>
          <w:lang w:val="fr-CA"/>
        </w:rPr>
        <w:t>problème</w:t>
      </w:r>
      <w:r w:rsidR="009478E4">
        <w:rPr>
          <w:lang w:val="fr-CA"/>
        </w:rPr>
        <w:t xml:space="preserve">s de droits de l’homme </w:t>
      </w:r>
      <w:r w:rsidR="00C575E1">
        <w:rPr>
          <w:lang w:val="fr-CA"/>
        </w:rPr>
        <w:t>posés par les activités contestataires</w:t>
      </w:r>
      <w:r w:rsidR="009478E4">
        <w:rPr>
          <w:lang w:val="fr-CA"/>
        </w:rPr>
        <w:t>.</w:t>
      </w:r>
    </w:p>
    <w:p w:rsidR="00C575E1" w:rsidRDefault="00C575E1" w:rsidP="00717BE8">
      <w:pPr>
        <w:pStyle w:val="ParNoG"/>
        <w:tabs>
          <w:tab w:val="clear" w:pos="1701"/>
          <w:tab w:val="num" w:pos="1191"/>
        </w:tabs>
        <w:ind w:left="624"/>
        <w:rPr>
          <w:lang w:val="fr-CA"/>
        </w:rPr>
      </w:pPr>
      <w:r>
        <w:rPr>
          <w:lang w:val="fr-CA"/>
        </w:rPr>
        <w:t xml:space="preserve">La Commission des droits de l’homme du Malawi a déclaré avoir mené une enquête sur des manifestations tenues en juillet 2011 qui avaient dégénéré en confrontations violentes, </w:t>
      </w:r>
      <w:r w:rsidR="00761A54">
        <w:rPr>
          <w:lang w:val="fr-CA"/>
        </w:rPr>
        <w:t>se sold</w:t>
      </w:r>
      <w:r>
        <w:rPr>
          <w:lang w:val="fr-CA"/>
        </w:rPr>
        <w:t xml:space="preserve">ant </w:t>
      </w:r>
      <w:r w:rsidR="00761A54">
        <w:rPr>
          <w:lang w:val="fr-CA"/>
        </w:rPr>
        <w:t xml:space="preserve">par la mort de </w:t>
      </w:r>
      <w:r>
        <w:rPr>
          <w:lang w:val="fr-CA"/>
        </w:rPr>
        <w:t>19 </w:t>
      </w:r>
      <w:r w:rsidR="00761A54">
        <w:rPr>
          <w:lang w:val="fr-CA"/>
        </w:rPr>
        <w:t>personnes</w:t>
      </w:r>
      <w:r>
        <w:rPr>
          <w:lang w:val="fr-CA"/>
        </w:rPr>
        <w:t xml:space="preserve"> et </w:t>
      </w:r>
      <w:r w:rsidR="00761A54">
        <w:rPr>
          <w:lang w:val="fr-CA"/>
        </w:rPr>
        <w:t xml:space="preserve">la destruction de biens. Le Bureau de l’Ombudsman du Venezuela (République bolivarienne de) a fait savoir qu’il essaie de jouer un rôle de médiateur dans les </w:t>
      </w:r>
      <w:r w:rsidR="005D48D4">
        <w:rPr>
          <w:lang w:val="fr-CA"/>
        </w:rPr>
        <w:t>conflits</w:t>
      </w:r>
      <w:r w:rsidR="00761A54">
        <w:rPr>
          <w:lang w:val="fr-CA"/>
        </w:rPr>
        <w:t xml:space="preserve"> </w:t>
      </w:r>
      <w:r w:rsidR="005D48D4">
        <w:rPr>
          <w:lang w:val="fr-CA"/>
        </w:rPr>
        <w:t>révélés par les</w:t>
      </w:r>
      <w:r w:rsidR="00761A54">
        <w:rPr>
          <w:lang w:val="fr-CA"/>
        </w:rPr>
        <w:t xml:space="preserve"> manifestations pacifiques et de formuler des recommandations à l’intention des organes étatiques compétents sur les mesures envisageables.</w:t>
      </w:r>
    </w:p>
    <w:p w:rsidR="005D48D4" w:rsidRDefault="00D650CF" w:rsidP="00D650CF">
      <w:pPr>
        <w:pStyle w:val="ParNoG"/>
        <w:tabs>
          <w:tab w:val="clear" w:pos="1701"/>
          <w:tab w:val="num" w:pos="1191"/>
        </w:tabs>
        <w:ind w:left="624"/>
        <w:rPr>
          <w:lang w:val="fr-CA"/>
        </w:rPr>
      </w:pPr>
      <w:r>
        <w:rPr>
          <w:lang w:val="fr-CA"/>
        </w:rPr>
        <w:t xml:space="preserve">L’association </w:t>
      </w:r>
      <w:r w:rsidRPr="00835830">
        <w:rPr>
          <w:lang w:val="fr-CA"/>
        </w:rPr>
        <w:t>Médecins pour les droits de l'homme</w:t>
      </w:r>
      <w:r>
        <w:rPr>
          <w:lang w:val="fr-CA"/>
        </w:rPr>
        <w:t xml:space="preserve"> a vivement engagé les États</w:t>
      </w:r>
      <w:r w:rsidR="00BC7D90">
        <w:rPr>
          <w:lang w:val="fr-CA"/>
        </w:rPr>
        <w:t>, d’une part,</w:t>
      </w:r>
      <w:r>
        <w:rPr>
          <w:lang w:val="fr-CA"/>
        </w:rPr>
        <w:t xml:space="preserve"> à mettre en place des mécanismes équitables et transparents de suivi des responsabilités pour les </w:t>
      </w:r>
      <w:r w:rsidR="00A774B2">
        <w:rPr>
          <w:lang w:val="fr-CA"/>
        </w:rPr>
        <w:t>cas d</w:t>
      </w:r>
      <w:r w:rsidR="00BC7D90">
        <w:rPr>
          <w:lang w:val="fr-CA"/>
        </w:rPr>
        <w:t xml:space="preserve">’usage </w:t>
      </w:r>
      <w:r w:rsidRPr="00D650CF">
        <w:rPr>
          <w:lang w:val="fr-CA"/>
        </w:rPr>
        <w:t xml:space="preserve">excessif </w:t>
      </w:r>
      <w:r w:rsidR="00BC7D90">
        <w:rPr>
          <w:lang w:val="fr-CA"/>
        </w:rPr>
        <w:t>de</w:t>
      </w:r>
      <w:r w:rsidR="00C33BD1">
        <w:rPr>
          <w:lang w:val="fr-CA"/>
        </w:rPr>
        <w:t xml:space="preserve"> </w:t>
      </w:r>
      <w:r w:rsidRPr="00D650CF">
        <w:rPr>
          <w:lang w:val="fr-CA"/>
        </w:rPr>
        <w:t>la force contre des manifestants pacifiques</w:t>
      </w:r>
      <w:r>
        <w:rPr>
          <w:lang w:val="fr-CA"/>
        </w:rPr>
        <w:t xml:space="preserve"> </w:t>
      </w:r>
      <w:r w:rsidR="00A774B2">
        <w:rPr>
          <w:lang w:val="fr-CA"/>
        </w:rPr>
        <w:t xml:space="preserve">par des agents de la sécurité </w:t>
      </w:r>
      <w:r>
        <w:rPr>
          <w:lang w:val="fr-CA"/>
        </w:rPr>
        <w:t>et</w:t>
      </w:r>
      <w:r w:rsidR="00BC7D90">
        <w:rPr>
          <w:lang w:val="fr-CA"/>
        </w:rPr>
        <w:t>, d’autre part,</w:t>
      </w:r>
      <w:r>
        <w:rPr>
          <w:lang w:val="fr-CA"/>
        </w:rPr>
        <w:t xml:space="preserve"> à </w:t>
      </w:r>
      <w:r w:rsidR="00A774B2">
        <w:rPr>
          <w:lang w:val="fr-CA"/>
        </w:rPr>
        <w:t xml:space="preserve">mener des enquêtes impartiales et indépendantes sur </w:t>
      </w:r>
      <w:r w:rsidR="00EC6EE1">
        <w:rPr>
          <w:lang w:val="fr-CA"/>
        </w:rPr>
        <w:t>toute</w:t>
      </w:r>
      <w:r w:rsidR="00A774B2">
        <w:rPr>
          <w:lang w:val="fr-CA"/>
        </w:rPr>
        <w:t xml:space="preserve"> plainte faisant état d</w:t>
      </w:r>
      <w:r w:rsidR="00C33BD1">
        <w:rPr>
          <w:lang w:val="fr-CA"/>
        </w:rPr>
        <w:t>’un</w:t>
      </w:r>
      <w:r w:rsidR="00A774B2">
        <w:rPr>
          <w:lang w:val="fr-CA"/>
        </w:rPr>
        <w:t xml:space="preserve"> harcèlement ou d’</w:t>
      </w:r>
      <w:r w:rsidR="00C33BD1">
        <w:rPr>
          <w:lang w:val="fr-CA"/>
        </w:rPr>
        <w:t xml:space="preserve">une </w:t>
      </w:r>
      <w:r w:rsidR="00A774B2">
        <w:rPr>
          <w:lang w:val="fr-CA"/>
        </w:rPr>
        <w:t>intimidation de manifestants.</w:t>
      </w:r>
      <w:r w:rsidR="00C33BD1">
        <w:rPr>
          <w:lang w:val="fr-CA"/>
        </w:rPr>
        <w:t xml:space="preserve"> La Turquie a laissé entendre qu</w:t>
      </w:r>
      <w:r w:rsidR="00EC6EE1">
        <w:rPr>
          <w:lang w:val="fr-CA"/>
        </w:rPr>
        <w:t xml:space="preserve">e </w:t>
      </w:r>
      <w:r w:rsidR="00E23913">
        <w:rPr>
          <w:lang w:val="fr-CA"/>
        </w:rPr>
        <w:t>lorsqu’</w:t>
      </w:r>
      <w:r w:rsidR="00EC6EE1">
        <w:rPr>
          <w:lang w:val="fr-CA"/>
        </w:rPr>
        <w:t xml:space="preserve">un </w:t>
      </w:r>
      <w:r w:rsidR="00C33BD1">
        <w:rPr>
          <w:lang w:val="fr-CA"/>
        </w:rPr>
        <w:t>usage disproportionné de la force par les agents de la sécurité durant une démonstration pacifique</w:t>
      </w:r>
      <w:r w:rsidR="00EC6EE1">
        <w:rPr>
          <w:lang w:val="fr-CA"/>
        </w:rPr>
        <w:t xml:space="preserve"> </w:t>
      </w:r>
      <w:r w:rsidR="00E23913">
        <w:rPr>
          <w:lang w:val="fr-CA"/>
        </w:rPr>
        <w:t xml:space="preserve">est constaté par les autorités </w:t>
      </w:r>
      <w:r w:rsidR="00EC6EE1">
        <w:rPr>
          <w:lang w:val="fr-CA"/>
        </w:rPr>
        <w:t xml:space="preserve">ou </w:t>
      </w:r>
      <w:r w:rsidR="00E23913">
        <w:rPr>
          <w:lang w:val="fr-CA"/>
        </w:rPr>
        <w:t>que celles-ci reçoivent une plainte dans ce sens</w:t>
      </w:r>
      <w:r w:rsidR="00C33BD1">
        <w:rPr>
          <w:lang w:val="fr-CA"/>
        </w:rPr>
        <w:t xml:space="preserve">, </w:t>
      </w:r>
      <w:r w:rsidR="00E23913">
        <w:rPr>
          <w:lang w:val="fr-CA"/>
        </w:rPr>
        <w:t>son</w:t>
      </w:r>
      <w:r w:rsidR="00C33BD1">
        <w:rPr>
          <w:lang w:val="fr-CA"/>
        </w:rPr>
        <w:t xml:space="preserve"> Ministère de l’intérieur </w:t>
      </w:r>
      <w:r w:rsidR="00EC6EE1">
        <w:rPr>
          <w:lang w:val="fr-CA"/>
        </w:rPr>
        <w:t>dé</w:t>
      </w:r>
      <w:r w:rsidR="00C33BD1">
        <w:rPr>
          <w:lang w:val="fr-CA"/>
        </w:rPr>
        <w:t xml:space="preserve">signe des inspecteurs pour enquêter sur </w:t>
      </w:r>
      <w:r w:rsidR="00EC6EE1">
        <w:rPr>
          <w:lang w:val="fr-CA"/>
        </w:rPr>
        <w:t>l’incident</w:t>
      </w:r>
      <w:r w:rsidR="00C33BD1">
        <w:rPr>
          <w:lang w:val="fr-CA"/>
        </w:rPr>
        <w:t xml:space="preserve">, conformément à </w:t>
      </w:r>
      <w:r w:rsidR="00A10EFB">
        <w:rPr>
          <w:lang w:val="fr-CA"/>
        </w:rPr>
        <w:t>l</w:t>
      </w:r>
      <w:r w:rsidR="00C33BD1">
        <w:rPr>
          <w:lang w:val="fr-CA"/>
        </w:rPr>
        <w:t xml:space="preserve">a politique </w:t>
      </w:r>
      <w:r w:rsidR="00A10EFB">
        <w:rPr>
          <w:lang w:val="fr-CA"/>
        </w:rPr>
        <w:t xml:space="preserve">nationale </w:t>
      </w:r>
      <w:r w:rsidR="00C33BD1">
        <w:rPr>
          <w:lang w:val="fr-CA"/>
        </w:rPr>
        <w:t>d’absence totale de tolérance vis-à-vis de la torture et de tout mauvais traitement.</w:t>
      </w:r>
    </w:p>
    <w:p w:rsidR="00A10EFB" w:rsidRDefault="00A10EFB" w:rsidP="00D650CF">
      <w:pPr>
        <w:pStyle w:val="ParNoG"/>
        <w:tabs>
          <w:tab w:val="clear" w:pos="1701"/>
          <w:tab w:val="num" w:pos="1191"/>
        </w:tabs>
        <w:ind w:left="624"/>
        <w:rPr>
          <w:lang w:val="fr-CA"/>
        </w:rPr>
      </w:pPr>
      <w:r>
        <w:rPr>
          <w:lang w:val="fr-CA"/>
        </w:rPr>
        <w:t xml:space="preserve">La Fédération de Russie a </w:t>
      </w:r>
      <w:r w:rsidR="005C67D6">
        <w:rPr>
          <w:lang w:val="fr-CA"/>
        </w:rPr>
        <w:t>annoncé que</w:t>
      </w:r>
      <w:r>
        <w:rPr>
          <w:lang w:val="fr-CA"/>
        </w:rPr>
        <w:t xml:space="preserve"> deux organismes </w:t>
      </w:r>
      <w:r w:rsidR="005C67D6">
        <w:rPr>
          <w:lang w:val="fr-CA"/>
        </w:rPr>
        <w:t xml:space="preserve">créés au cours des dernières années </w:t>
      </w:r>
      <w:r w:rsidR="00CB082A">
        <w:rPr>
          <w:lang w:val="fr-CA"/>
        </w:rPr>
        <w:t xml:space="preserve">assurent maintenant avec succès la </w:t>
      </w:r>
      <w:r w:rsidR="005C67D6">
        <w:rPr>
          <w:lang w:val="fr-CA"/>
        </w:rPr>
        <w:t>détect</w:t>
      </w:r>
      <w:r w:rsidR="00CB082A">
        <w:rPr>
          <w:lang w:val="fr-CA"/>
        </w:rPr>
        <w:t>ion d</w:t>
      </w:r>
      <w:r>
        <w:rPr>
          <w:lang w:val="fr-CA"/>
        </w:rPr>
        <w:t>es violations des droits de l’homme, y compris lors des manifestations pacifiques.</w:t>
      </w:r>
      <w:r w:rsidR="005C67D6">
        <w:rPr>
          <w:lang w:val="fr-CA"/>
        </w:rPr>
        <w:t xml:space="preserve"> Des conseils </w:t>
      </w:r>
      <w:r w:rsidR="00CB082A">
        <w:rPr>
          <w:lang w:val="fr-CA"/>
        </w:rPr>
        <w:t xml:space="preserve">publics </w:t>
      </w:r>
      <w:r w:rsidR="005C67D6">
        <w:rPr>
          <w:lang w:val="fr-CA"/>
        </w:rPr>
        <w:t>de su</w:t>
      </w:r>
      <w:r w:rsidR="00CB082A">
        <w:rPr>
          <w:lang w:val="fr-CA"/>
        </w:rPr>
        <w:t>rveillance</w:t>
      </w:r>
      <w:r w:rsidR="005C67D6">
        <w:rPr>
          <w:lang w:val="fr-CA"/>
        </w:rPr>
        <w:t xml:space="preserve"> ont été mis en place </w:t>
      </w:r>
      <w:r w:rsidR="00CB082A">
        <w:rPr>
          <w:lang w:val="fr-CA"/>
        </w:rPr>
        <w:t xml:space="preserve">pour </w:t>
      </w:r>
      <w:r w:rsidR="002D04CF">
        <w:rPr>
          <w:lang w:val="fr-CA"/>
        </w:rPr>
        <w:t>rapporter</w:t>
      </w:r>
      <w:r w:rsidR="005C67D6">
        <w:rPr>
          <w:lang w:val="fr-CA"/>
        </w:rPr>
        <w:t xml:space="preserve"> les cas </w:t>
      </w:r>
      <w:r w:rsidR="00CB082A">
        <w:rPr>
          <w:lang w:val="fr-CA"/>
        </w:rPr>
        <w:t xml:space="preserve">d’atteinte grave aux droits de l’homme sur lesquels des organisations de la société civile se penchent également. </w:t>
      </w:r>
      <w:r w:rsidR="00C96414">
        <w:rPr>
          <w:lang w:val="fr-CA"/>
        </w:rPr>
        <w:t xml:space="preserve">Le Conseil public du Ministère des affaires intérieures comprend des représentants de la communauté des défenseurs des droits de l’homme et s’occupe des cas d’atteinte aux droits de l’homme. L’Oman a </w:t>
      </w:r>
      <w:r w:rsidR="002D04CF">
        <w:rPr>
          <w:lang w:val="fr-CA"/>
        </w:rPr>
        <w:t>fait savoir</w:t>
      </w:r>
      <w:r w:rsidR="00C96414">
        <w:rPr>
          <w:lang w:val="fr-CA"/>
        </w:rPr>
        <w:t xml:space="preserve"> que son Institution nationale de défense des droits de l’homme </w:t>
      </w:r>
      <w:r w:rsidR="002D04CF">
        <w:rPr>
          <w:lang w:val="fr-CA"/>
        </w:rPr>
        <w:t>suit</w:t>
      </w:r>
      <w:r w:rsidR="00C96414">
        <w:rPr>
          <w:lang w:val="fr-CA"/>
        </w:rPr>
        <w:t xml:space="preserve"> toutes les questions en rapport avec </w:t>
      </w:r>
      <w:r w:rsidR="002D04CF">
        <w:rPr>
          <w:lang w:val="fr-CA"/>
        </w:rPr>
        <w:t xml:space="preserve">les violations des </w:t>
      </w:r>
      <w:r w:rsidR="00C96414">
        <w:rPr>
          <w:lang w:val="fr-CA"/>
        </w:rPr>
        <w:t>droits de l’homme</w:t>
      </w:r>
      <w:r w:rsidR="002D04CF">
        <w:rPr>
          <w:lang w:val="fr-CA"/>
        </w:rPr>
        <w:t>, y compris dans le contexte des manifestations pacifiques,</w:t>
      </w:r>
      <w:r w:rsidR="00C96414">
        <w:rPr>
          <w:lang w:val="fr-CA"/>
        </w:rPr>
        <w:t xml:space="preserve"> et fournit des avis </w:t>
      </w:r>
      <w:r w:rsidR="002D04CF">
        <w:rPr>
          <w:lang w:val="fr-CA"/>
        </w:rPr>
        <w:t>à leur sujet.</w:t>
      </w:r>
    </w:p>
    <w:p w:rsidR="002D04CF" w:rsidRDefault="002D04CF" w:rsidP="00D650CF">
      <w:pPr>
        <w:pStyle w:val="ParNoG"/>
        <w:tabs>
          <w:tab w:val="clear" w:pos="1701"/>
          <w:tab w:val="num" w:pos="1191"/>
        </w:tabs>
        <w:ind w:left="624"/>
        <w:rPr>
          <w:lang w:val="fr-CA"/>
        </w:rPr>
      </w:pPr>
      <w:r>
        <w:rPr>
          <w:lang w:val="fr-CA"/>
        </w:rPr>
        <w:t xml:space="preserve">Greenpeace a abordé la question de la désobéissance civile, qu’elle </w:t>
      </w:r>
      <w:r w:rsidR="00CB3B76">
        <w:rPr>
          <w:lang w:val="fr-CA"/>
        </w:rPr>
        <w:t>définit</w:t>
      </w:r>
      <w:r>
        <w:rPr>
          <w:lang w:val="fr-CA"/>
        </w:rPr>
        <w:t xml:space="preserve"> comme un non-respect délibéré d’une obligation légale. </w:t>
      </w:r>
      <w:r w:rsidR="00CB3B76">
        <w:rPr>
          <w:lang w:val="fr-CA"/>
        </w:rPr>
        <w:t>Selon cette organisation,</w:t>
      </w:r>
      <w:r>
        <w:rPr>
          <w:lang w:val="fr-CA"/>
        </w:rPr>
        <w:t xml:space="preserve"> </w:t>
      </w:r>
      <w:r w:rsidR="00CB3B76">
        <w:rPr>
          <w:lang w:val="fr-CA"/>
        </w:rPr>
        <w:t xml:space="preserve">les protestations légitimes et constructives ne devraient pas toujours faire l’objet de sanctions juridiques, même si elles contreviennent à la loi. Elle a cité le cas de 46 militants de Greenpeace qui avaient intentionnellement enfreint la loi pour démontrer l’inadéquation de </w:t>
      </w:r>
      <w:r w:rsidR="00560D68">
        <w:rPr>
          <w:lang w:val="fr-CA"/>
        </w:rPr>
        <w:t xml:space="preserve">la </w:t>
      </w:r>
      <w:r w:rsidR="00CB3B76">
        <w:rPr>
          <w:lang w:val="fr-CA"/>
        </w:rPr>
        <w:t>sécurité dans une installation nucléaire australienne</w:t>
      </w:r>
      <w:r w:rsidR="00560D68">
        <w:rPr>
          <w:lang w:val="fr-CA"/>
        </w:rPr>
        <w:t xml:space="preserve"> et qui,</w:t>
      </w:r>
      <w:r w:rsidR="00CB3B76">
        <w:rPr>
          <w:lang w:val="fr-CA"/>
        </w:rPr>
        <w:t xml:space="preserve"> initialement condamnés pour violation de propriété, </w:t>
      </w:r>
      <w:r w:rsidR="002E1B09">
        <w:rPr>
          <w:lang w:val="fr-CA"/>
        </w:rPr>
        <w:t>avaient obtenu l’annulation du jugement en appel</w:t>
      </w:r>
      <w:r w:rsidR="00560D68">
        <w:rPr>
          <w:lang w:val="fr-CA"/>
        </w:rPr>
        <w:t xml:space="preserve">. Le </w:t>
      </w:r>
      <w:r w:rsidR="002E1B09">
        <w:rPr>
          <w:lang w:val="fr-CA"/>
        </w:rPr>
        <w:t>président d</w:t>
      </w:r>
      <w:r w:rsidR="00560D68">
        <w:rPr>
          <w:lang w:val="fr-CA"/>
        </w:rPr>
        <w:t xml:space="preserve">e la cour d’appel avait </w:t>
      </w:r>
      <w:r w:rsidR="003508BE">
        <w:rPr>
          <w:lang w:val="fr-CA"/>
        </w:rPr>
        <w:t xml:space="preserve">déclaré à ce sujet qu’à son avis, une manifestation devant le portail principal n’aurait pas </w:t>
      </w:r>
      <w:r w:rsidR="007D2FC3">
        <w:rPr>
          <w:lang w:val="fr-CA"/>
        </w:rPr>
        <w:t>servi les</w:t>
      </w:r>
      <w:r w:rsidR="001541A3">
        <w:rPr>
          <w:lang w:val="fr-CA"/>
        </w:rPr>
        <w:t xml:space="preserve"> objectifs</w:t>
      </w:r>
      <w:r w:rsidR="003508BE">
        <w:rPr>
          <w:lang w:val="fr-CA"/>
        </w:rPr>
        <w:t xml:space="preserve"> </w:t>
      </w:r>
      <w:r w:rsidR="007D2FC3">
        <w:rPr>
          <w:lang w:val="fr-CA"/>
        </w:rPr>
        <w:t xml:space="preserve">et motifs des prévenus, dont l’un des plus importants, comme indiqué par ailleurs, était </w:t>
      </w:r>
      <w:r w:rsidR="003508BE">
        <w:rPr>
          <w:lang w:val="fr-CA"/>
        </w:rPr>
        <w:t xml:space="preserve">de faire </w:t>
      </w:r>
      <w:r w:rsidR="007D2FC3">
        <w:rPr>
          <w:lang w:val="fr-CA"/>
        </w:rPr>
        <w:t>ressortir</w:t>
      </w:r>
      <w:r w:rsidR="003508BE">
        <w:rPr>
          <w:lang w:val="fr-CA"/>
        </w:rPr>
        <w:t xml:space="preserve"> de manière explicite le déplorable manque de sécurité inhérent à </w:t>
      </w:r>
      <w:r w:rsidR="007D2FC3">
        <w:rPr>
          <w:lang w:val="fr-CA"/>
        </w:rPr>
        <w:t>l’</w:t>
      </w:r>
      <w:r w:rsidR="003508BE">
        <w:rPr>
          <w:lang w:val="fr-CA"/>
        </w:rPr>
        <w:t>installation</w:t>
      </w:r>
      <w:r w:rsidR="003508BE">
        <w:rPr>
          <w:rStyle w:val="Appelnotedebasdep"/>
        </w:rPr>
        <w:footnoteReference w:id="30"/>
      </w:r>
      <w:r w:rsidR="004711C3">
        <w:rPr>
          <w:lang w:val="fr-CA"/>
        </w:rPr>
        <w:t>.</w:t>
      </w:r>
    </w:p>
    <w:p w:rsidR="007D2FC3" w:rsidRPr="007D2FC3" w:rsidRDefault="007D2FC3" w:rsidP="007D2FC3">
      <w:pPr>
        <w:pStyle w:val="ParNoG"/>
        <w:numPr>
          <w:ilvl w:val="0"/>
          <w:numId w:val="0"/>
        </w:numPr>
        <w:ind w:left="624"/>
        <w:rPr>
          <w:b/>
          <w:lang w:val="fr-CA"/>
        </w:rPr>
      </w:pPr>
      <w:r w:rsidRPr="007D2FC3">
        <w:rPr>
          <w:b/>
          <w:lang w:val="fr-CA"/>
        </w:rPr>
        <w:t>Bonnes pratiques contribuant à l’impartialité de l’État</w:t>
      </w:r>
    </w:p>
    <w:p w:rsidR="007D2FC3" w:rsidRDefault="007D2FC3" w:rsidP="00D650CF">
      <w:pPr>
        <w:pStyle w:val="ParNoG"/>
        <w:tabs>
          <w:tab w:val="clear" w:pos="1701"/>
          <w:tab w:val="num" w:pos="1191"/>
        </w:tabs>
        <w:ind w:left="624"/>
        <w:rPr>
          <w:lang w:val="fr-CA"/>
        </w:rPr>
      </w:pPr>
      <w:r>
        <w:rPr>
          <w:lang w:val="fr-CA"/>
        </w:rPr>
        <w:t xml:space="preserve">La Commission nationale indienne des droits de l’homme a établi que l’impartialité de l’État revêt une importance cruciale dans l’exercice du droit de manifestation pacifique. </w:t>
      </w:r>
      <w:r w:rsidR="001C20A2">
        <w:rPr>
          <w:lang w:val="fr-CA"/>
        </w:rPr>
        <w:t xml:space="preserve">Elle a exposé comment, dans diverses situations, un manque d’impartialité pourrait se répercuter négativement sur ce droit. Le </w:t>
      </w:r>
      <w:r w:rsidR="006C72D0">
        <w:rPr>
          <w:lang w:val="fr-CA"/>
        </w:rPr>
        <w:t>parti</w:t>
      </w:r>
      <w:r w:rsidR="001C20A2">
        <w:rPr>
          <w:lang w:val="fr-CA"/>
        </w:rPr>
        <w:t xml:space="preserve"> au pouvoir peut par exemple encourager, voire appuyer, les manifestations </w:t>
      </w:r>
      <w:r w:rsidR="006C72D0">
        <w:rPr>
          <w:lang w:val="fr-CA"/>
        </w:rPr>
        <w:t xml:space="preserve">pro-gouvernementales </w:t>
      </w:r>
      <w:r w:rsidR="001C20A2">
        <w:rPr>
          <w:lang w:val="fr-CA"/>
        </w:rPr>
        <w:t xml:space="preserve">mais interdire, restreindre ou perturber </w:t>
      </w:r>
      <w:r w:rsidR="006C72D0">
        <w:rPr>
          <w:lang w:val="fr-CA"/>
        </w:rPr>
        <w:t xml:space="preserve">les manifestations pacifiques </w:t>
      </w:r>
      <w:r w:rsidR="001C20A2">
        <w:rPr>
          <w:lang w:val="fr-CA"/>
        </w:rPr>
        <w:t>organisées par les partis de l’opposition</w:t>
      </w:r>
      <w:r w:rsidR="006C72D0">
        <w:rPr>
          <w:lang w:val="fr-CA"/>
        </w:rPr>
        <w:t xml:space="preserve"> et individus ou groupes mécontents de ses politiques et pratiques. </w:t>
      </w:r>
      <w:r w:rsidR="007F20CD">
        <w:rPr>
          <w:lang w:val="fr-CA"/>
        </w:rPr>
        <w:t>Il arrive également que l’État</w:t>
      </w:r>
      <w:r w:rsidR="006C72D0">
        <w:rPr>
          <w:lang w:val="fr-CA"/>
        </w:rPr>
        <w:t xml:space="preserve"> cible </w:t>
      </w:r>
      <w:r w:rsidR="00110933">
        <w:rPr>
          <w:lang w:val="fr-CA"/>
        </w:rPr>
        <w:t>l</w:t>
      </w:r>
      <w:r w:rsidR="006C72D0">
        <w:rPr>
          <w:lang w:val="fr-CA"/>
        </w:rPr>
        <w:t xml:space="preserve">es personnes </w:t>
      </w:r>
      <w:r w:rsidR="00110933">
        <w:rPr>
          <w:lang w:val="fr-CA"/>
        </w:rPr>
        <w:t>profess</w:t>
      </w:r>
      <w:r w:rsidR="007F20CD">
        <w:rPr>
          <w:lang w:val="fr-CA"/>
        </w:rPr>
        <w:t>a</w:t>
      </w:r>
      <w:r w:rsidR="00110933">
        <w:rPr>
          <w:lang w:val="fr-CA"/>
        </w:rPr>
        <w:t>nt</w:t>
      </w:r>
      <w:r w:rsidR="007C4926">
        <w:rPr>
          <w:lang w:val="fr-CA"/>
        </w:rPr>
        <w:t xml:space="preserve"> des </w:t>
      </w:r>
      <w:r w:rsidR="00110933">
        <w:rPr>
          <w:lang w:val="fr-CA"/>
        </w:rPr>
        <w:t>idées</w:t>
      </w:r>
      <w:r w:rsidR="007C4926">
        <w:rPr>
          <w:lang w:val="fr-CA"/>
        </w:rPr>
        <w:t xml:space="preserve"> </w:t>
      </w:r>
      <w:r w:rsidR="00110933">
        <w:rPr>
          <w:lang w:val="fr-CA"/>
        </w:rPr>
        <w:t>jug</w:t>
      </w:r>
      <w:r w:rsidR="007C4926">
        <w:rPr>
          <w:lang w:val="fr-CA"/>
        </w:rPr>
        <w:t>é</w:t>
      </w:r>
      <w:r w:rsidR="00110933">
        <w:rPr>
          <w:lang w:val="fr-CA"/>
        </w:rPr>
        <w:t>e</w:t>
      </w:r>
      <w:r w:rsidR="007C4926">
        <w:rPr>
          <w:lang w:val="fr-CA"/>
        </w:rPr>
        <w:t xml:space="preserve">s </w:t>
      </w:r>
      <w:r w:rsidR="00110933">
        <w:rPr>
          <w:lang w:val="fr-CA"/>
        </w:rPr>
        <w:t>litigieuses</w:t>
      </w:r>
      <w:r w:rsidR="007C4926">
        <w:rPr>
          <w:lang w:val="fr-CA"/>
        </w:rPr>
        <w:t xml:space="preserve"> ou incompatibles avec les valeurs et croyances</w:t>
      </w:r>
      <w:r w:rsidR="00110933">
        <w:rPr>
          <w:lang w:val="fr-CA"/>
        </w:rPr>
        <w:t xml:space="preserve"> du courant dominant, inflige de lourdes amendes</w:t>
      </w:r>
      <w:r w:rsidR="00905245">
        <w:rPr>
          <w:lang w:val="fr-CA"/>
        </w:rPr>
        <w:t>,</w:t>
      </w:r>
      <w:r w:rsidR="00105959">
        <w:rPr>
          <w:lang w:val="fr-CA"/>
        </w:rPr>
        <w:t xml:space="preserve"> des peines de rétention administrative ou </w:t>
      </w:r>
      <w:r w:rsidR="00905245">
        <w:rPr>
          <w:lang w:val="fr-CA"/>
        </w:rPr>
        <w:t xml:space="preserve">des peines </w:t>
      </w:r>
      <w:r w:rsidR="00105959">
        <w:rPr>
          <w:lang w:val="fr-CA"/>
        </w:rPr>
        <w:t xml:space="preserve">d’emprisonnement </w:t>
      </w:r>
      <w:r w:rsidR="00110933">
        <w:rPr>
          <w:lang w:val="fr-CA"/>
        </w:rPr>
        <w:t>aux organisateurs</w:t>
      </w:r>
      <w:r w:rsidR="00905245">
        <w:rPr>
          <w:lang w:val="fr-CA"/>
        </w:rPr>
        <w:t xml:space="preserve"> de manifestations contestataires ainsi qu’aux individus</w:t>
      </w:r>
      <w:r w:rsidR="00110933">
        <w:rPr>
          <w:lang w:val="fr-CA"/>
        </w:rPr>
        <w:t xml:space="preserve"> ou leaders de l’opposition qui </w:t>
      </w:r>
      <w:r w:rsidR="00905245">
        <w:rPr>
          <w:lang w:val="fr-CA"/>
        </w:rPr>
        <w:t xml:space="preserve">y </w:t>
      </w:r>
      <w:r w:rsidR="00110933">
        <w:rPr>
          <w:lang w:val="fr-CA"/>
        </w:rPr>
        <w:t xml:space="preserve">participent </w:t>
      </w:r>
      <w:r w:rsidR="00905245">
        <w:rPr>
          <w:lang w:val="fr-CA"/>
        </w:rPr>
        <w:t>et</w:t>
      </w:r>
      <w:r w:rsidR="00105959">
        <w:rPr>
          <w:lang w:val="fr-CA"/>
        </w:rPr>
        <w:t>, d</w:t>
      </w:r>
      <w:r w:rsidR="007F20CD">
        <w:rPr>
          <w:lang w:val="fr-CA"/>
        </w:rPr>
        <w:t xml:space="preserve">ans certains cas extrêmes, </w:t>
      </w:r>
      <w:r w:rsidR="00905245">
        <w:rPr>
          <w:lang w:val="fr-CA"/>
        </w:rPr>
        <w:t>soumette les détenus à</w:t>
      </w:r>
      <w:r w:rsidR="00105959">
        <w:rPr>
          <w:lang w:val="fr-CA"/>
        </w:rPr>
        <w:t xml:space="preserve"> la torture ou </w:t>
      </w:r>
      <w:r w:rsidR="00905245">
        <w:rPr>
          <w:lang w:val="fr-CA"/>
        </w:rPr>
        <w:t>à de</w:t>
      </w:r>
      <w:r w:rsidR="00105959">
        <w:rPr>
          <w:lang w:val="fr-CA"/>
        </w:rPr>
        <w:t xml:space="preserve"> mauvais traitement</w:t>
      </w:r>
      <w:r w:rsidR="00905245">
        <w:rPr>
          <w:lang w:val="fr-CA"/>
        </w:rPr>
        <w:t>s, ou essaie d</w:t>
      </w:r>
      <w:r w:rsidR="005A4F5A">
        <w:rPr>
          <w:lang w:val="fr-CA"/>
        </w:rPr>
        <w:t>e faire obstacle à</w:t>
      </w:r>
      <w:r w:rsidR="00105959">
        <w:rPr>
          <w:lang w:val="fr-CA"/>
        </w:rPr>
        <w:t xml:space="preserve"> la fourniture de soins médicaux aux blessés</w:t>
      </w:r>
      <w:r w:rsidR="00905245">
        <w:rPr>
          <w:lang w:val="fr-CA"/>
        </w:rPr>
        <w:t>, commettant ainsi de graves violations des droits de l’homme</w:t>
      </w:r>
      <w:r w:rsidR="00105959">
        <w:rPr>
          <w:lang w:val="fr-CA"/>
        </w:rPr>
        <w:t>.</w:t>
      </w:r>
    </w:p>
    <w:p w:rsidR="00105959" w:rsidRDefault="00905245" w:rsidP="00D650CF">
      <w:pPr>
        <w:pStyle w:val="ParNoG"/>
        <w:tabs>
          <w:tab w:val="clear" w:pos="1701"/>
          <w:tab w:val="num" w:pos="1191"/>
        </w:tabs>
        <w:ind w:left="624"/>
        <w:rPr>
          <w:lang w:val="fr-CA"/>
        </w:rPr>
      </w:pPr>
      <w:r>
        <w:rPr>
          <w:lang w:val="fr-CA"/>
        </w:rPr>
        <w:t>Diverses bonnes pratiques peuvent contribuer à résoudre le problème</w:t>
      </w:r>
      <w:r w:rsidR="00A0268F">
        <w:rPr>
          <w:lang w:val="fr-CA"/>
        </w:rPr>
        <w:t xml:space="preserve">. Les institutions nationales de défense des droits de l’homme peuvent, par exemple, mener des enquêtes sur l’impartialité de l’État dans un cas donné et annoncer publiquement leurs conclusions. La Commission sud-africaine des droits de l’homme, l’Office polonais de défense des droits de l’homme et le Bureau de l’Ombudsman de la République de Bulgarie ont déclaré jouer un rôle dans le suivi des manifestations et </w:t>
      </w:r>
      <w:r w:rsidR="00030DCE">
        <w:rPr>
          <w:lang w:val="fr-CA"/>
        </w:rPr>
        <w:t>l’établissement d’un dialogue entre les parties concernées.</w:t>
      </w:r>
    </w:p>
    <w:p w:rsidR="00030DCE" w:rsidRDefault="00030DCE" w:rsidP="00453FD3">
      <w:pPr>
        <w:pStyle w:val="ParNoG"/>
        <w:tabs>
          <w:tab w:val="clear" w:pos="1701"/>
          <w:tab w:val="num" w:pos="1191"/>
        </w:tabs>
        <w:ind w:left="624"/>
        <w:rPr>
          <w:lang w:val="fr-CA"/>
        </w:rPr>
      </w:pPr>
      <w:r>
        <w:rPr>
          <w:lang w:val="fr-CA"/>
        </w:rPr>
        <w:t xml:space="preserve">Les décisions défavorables des autorités administratives devraient être susceptibles d’appel devant des instances indépendantes et impartiales, dont les tribunaux. Les </w:t>
      </w:r>
      <w:r w:rsidR="004B66ED">
        <w:rPr>
          <w:lang w:val="fr-CA"/>
        </w:rPr>
        <w:t xml:space="preserve">représentants des </w:t>
      </w:r>
      <w:r>
        <w:rPr>
          <w:lang w:val="fr-CA"/>
        </w:rPr>
        <w:t xml:space="preserve">médias devraient être autorisés à exercer </w:t>
      </w:r>
      <w:r w:rsidR="004B66ED">
        <w:rPr>
          <w:lang w:val="fr-CA"/>
        </w:rPr>
        <w:t xml:space="preserve">leur profession sans aucune entrave </w:t>
      </w:r>
      <w:r>
        <w:rPr>
          <w:lang w:val="fr-CA"/>
        </w:rPr>
        <w:t xml:space="preserve">et à </w:t>
      </w:r>
      <w:r w:rsidR="004B66ED">
        <w:rPr>
          <w:lang w:val="fr-CA"/>
        </w:rPr>
        <w:t>rendre compte librement des</w:t>
      </w:r>
      <w:r w:rsidR="00AC28D6">
        <w:rPr>
          <w:lang w:val="fr-CA"/>
        </w:rPr>
        <w:t xml:space="preserve"> manifestations.</w:t>
      </w:r>
      <w:r w:rsidR="004B66ED">
        <w:rPr>
          <w:lang w:val="fr-CA"/>
        </w:rPr>
        <w:t xml:space="preserve"> Les organisations non gouvernementales et défenseurs des droits de l’homme ont un rôle à jouer dans la surveillance des rassemblements pacifiques et </w:t>
      </w:r>
      <w:r w:rsidR="00453FD3">
        <w:rPr>
          <w:lang w:val="fr-CA"/>
        </w:rPr>
        <w:t>des actions policières les concernant</w:t>
      </w:r>
      <w:r w:rsidR="00453FD3">
        <w:rPr>
          <w:rStyle w:val="Appelnotedebasdep"/>
        </w:rPr>
        <w:footnoteReference w:id="31"/>
      </w:r>
      <w:r w:rsidR="00453FD3">
        <w:rPr>
          <w:lang w:val="fr-CA"/>
        </w:rPr>
        <w:t xml:space="preserve">, de même que les observateurs des missions diplomatiques et des organisations régionales et internationales dans les cas où l’impartialité de l’État est mise en cause. À cet égard, le manuel du Bureau des institutions démocratiques et des droits de l’homme de l’OSCE intitulé </w:t>
      </w:r>
      <w:proofErr w:type="spellStart"/>
      <w:r w:rsidR="00453FD3" w:rsidRPr="00453FD3">
        <w:rPr>
          <w:i/>
          <w:lang w:val="fr-CA"/>
        </w:rPr>
        <w:t>Handbook</w:t>
      </w:r>
      <w:proofErr w:type="spellEnd"/>
      <w:r w:rsidR="00453FD3" w:rsidRPr="00453FD3">
        <w:rPr>
          <w:i/>
          <w:lang w:val="fr-CA"/>
        </w:rPr>
        <w:t xml:space="preserve"> on Monitoring </w:t>
      </w:r>
      <w:proofErr w:type="spellStart"/>
      <w:r w:rsidR="00453FD3" w:rsidRPr="00453FD3">
        <w:rPr>
          <w:i/>
          <w:lang w:val="fr-CA"/>
        </w:rPr>
        <w:t>Freedom</w:t>
      </w:r>
      <w:proofErr w:type="spellEnd"/>
      <w:r w:rsidR="00453FD3" w:rsidRPr="00453FD3">
        <w:rPr>
          <w:i/>
          <w:lang w:val="fr-CA"/>
        </w:rPr>
        <w:t xml:space="preserve"> of </w:t>
      </w:r>
      <w:proofErr w:type="spellStart"/>
      <w:r w:rsidR="00453FD3" w:rsidRPr="00453FD3">
        <w:rPr>
          <w:i/>
          <w:lang w:val="fr-CA"/>
        </w:rPr>
        <w:t>Assembly</w:t>
      </w:r>
      <w:proofErr w:type="spellEnd"/>
      <w:r w:rsidR="00453FD3" w:rsidRPr="00453FD3">
        <w:rPr>
          <w:lang w:val="fr-CA"/>
        </w:rPr>
        <w:t xml:space="preserve"> </w:t>
      </w:r>
      <w:r w:rsidR="00453FD3">
        <w:rPr>
          <w:lang w:val="fr-CA"/>
        </w:rPr>
        <w:t xml:space="preserve">(2011) </w:t>
      </w:r>
      <w:r w:rsidR="00453FD3" w:rsidRPr="00453FD3">
        <w:rPr>
          <w:lang w:val="fr-CA"/>
        </w:rPr>
        <w:t>peut</w:t>
      </w:r>
      <w:r w:rsidR="00453FD3">
        <w:rPr>
          <w:lang w:val="fr-CA"/>
        </w:rPr>
        <w:t xml:space="preserve"> s’utiliser pour renforcer les capacités.</w:t>
      </w:r>
    </w:p>
    <w:p w:rsidR="00453FD3" w:rsidRPr="00453FD3" w:rsidRDefault="00881C18" w:rsidP="00453FD3">
      <w:pPr>
        <w:pStyle w:val="ParNoG"/>
        <w:numPr>
          <w:ilvl w:val="0"/>
          <w:numId w:val="0"/>
        </w:numPr>
        <w:ind w:left="624"/>
        <w:rPr>
          <w:b/>
          <w:lang w:val="fr-CA"/>
        </w:rPr>
      </w:pPr>
      <w:r>
        <w:rPr>
          <w:b/>
          <w:lang w:val="fr-CA"/>
        </w:rPr>
        <w:t>R</w:t>
      </w:r>
      <w:r w:rsidR="00453FD3" w:rsidRPr="00453FD3">
        <w:rPr>
          <w:b/>
          <w:lang w:val="fr-CA"/>
        </w:rPr>
        <w:t xml:space="preserve">ôle </w:t>
      </w:r>
      <w:r w:rsidR="00AE5964">
        <w:rPr>
          <w:b/>
          <w:lang w:val="fr-CA"/>
        </w:rPr>
        <w:t>joué par l</w:t>
      </w:r>
      <w:r w:rsidR="00453FD3" w:rsidRPr="00453FD3">
        <w:rPr>
          <w:b/>
          <w:lang w:val="fr-CA"/>
        </w:rPr>
        <w:t>es médias</w:t>
      </w:r>
    </w:p>
    <w:p w:rsidR="00453FD3" w:rsidRPr="0021715D" w:rsidRDefault="00453FD3" w:rsidP="00453FD3">
      <w:pPr>
        <w:pStyle w:val="ParNoG"/>
        <w:tabs>
          <w:tab w:val="clear" w:pos="1701"/>
          <w:tab w:val="num" w:pos="1191"/>
        </w:tabs>
        <w:ind w:left="624"/>
        <w:rPr>
          <w:lang w:val="fr-CA"/>
        </w:rPr>
      </w:pPr>
      <w:r>
        <w:rPr>
          <w:lang w:val="fr-CA"/>
        </w:rPr>
        <w:t xml:space="preserve">L’association </w:t>
      </w:r>
      <w:r w:rsidRPr="00453FD3">
        <w:rPr>
          <w:bCs/>
        </w:rPr>
        <w:t>Reporters sans frontières</w:t>
      </w:r>
      <w:r>
        <w:rPr>
          <w:bCs/>
        </w:rPr>
        <w:t xml:space="preserve"> </w:t>
      </w:r>
      <w:r w:rsidR="0021715D">
        <w:rPr>
          <w:bCs/>
        </w:rPr>
        <w:t xml:space="preserve">(RSF) </w:t>
      </w:r>
      <w:r w:rsidR="00327C88">
        <w:rPr>
          <w:bCs/>
        </w:rPr>
        <w:t xml:space="preserve">a </w:t>
      </w:r>
      <w:r w:rsidR="005A4F5A">
        <w:rPr>
          <w:bCs/>
        </w:rPr>
        <w:t>déclaré</w:t>
      </w:r>
      <w:r w:rsidR="00327C88">
        <w:rPr>
          <w:bCs/>
        </w:rPr>
        <w:t xml:space="preserve"> que les médias </w:t>
      </w:r>
      <w:r w:rsidR="00505E5F">
        <w:rPr>
          <w:bCs/>
        </w:rPr>
        <w:t>apport</w:t>
      </w:r>
      <w:r w:rsidR="00327C88">
        <w:rPr>
          <w:bCs/>
        </w:rPr>
        <w:t>ent, lors des manifestations pacifiques, un</w:t>
      </w:r>
      <w:r w:rsidR="00505E5F">
        <w:rPr>
          <w:bCs/>
        </w:rPr>
        <w:t>e contribution</w:t>
      </w:r>
      <w:r w:rsidR="00327C88">
        <w:rPr>
          <w:bCs/>
        </w:rPr>
        <w:t xml:space="preserve"> essentiel</w:t>
      </w:r>
      <w:r w:rsidR="00505E5F">
        <w:rPr>
          <w:bCs/>
        </w:rPr>
        <w:t>le à</w:t>
      </w:r>
      <w:r w:rsidR="00327C88">
        <w:rPr>
          <w:bCs/>
        </w:rPr>
        <w:t xml:space="preserve"> </w:t>
      </w:r>
      <w:r w:rsidR="00505E5F">
        <w:rPr>
          <w:bCs/>
        </w:rPr>
        <w:t>la</w:t>
      </w:r>
      <w:r w:rsidR="00327C88">
        <w:rPr>
          <w:bCs/>
        </w:rPr>
        <w:t xml:space="preserve"> promotion de l’exercice </w:t>
      </w:r>
      <w:r w:rsidR="00505E5F">
        <w:rPr>
          <w:bCs/>
        </w:rPr>
        <w:t xml:space="preserve">plein et effectif </w:t>
      </w:r>
      <w:r w:rsidR="00327C88">
        <w:rPr>
          <w:bCs/>
        </w:rPr>
        <w:t>du droit à la liberté de réunion pacifique.</w:t>
      </w:r>
      <w:r w:rsidR="003975D4">
        <w:rPr>
          <w:bCs/>
        </w:rPr>
        <w:t xml:space="preserve"> Elle a souligné que l’attention accordée par les médias aux manifestations et aux rassemblements publics a été une des principales raisons des exactions </w:t>
      </w:r>
      <w:r w:rsidR="00E749CD">
        <w:rPr>
          <w:bCs/>
        </w:rPr>
        <w:t>dont</w:t>
      </w:r>
      <w:r w:rsidR="004E1D97">
        <w:rPr>
          <w:bCs/>
        </w:rPr>
        <w:t xml:space="preserve"> l</w:t>
      </w:r>
      <w:r w:rsidR="003975D4">
        <w:rPr>
          <w:bCs/>
        </w:rPr>
        <w:t xml:space="preserve">es journalistes </w:t>
      </w:r>
      <w:r w:rsidR="004E1D97">
        <w:rPr>
          <w:bCs/>
        </w:rPr>
        <w:t xml:space="preserve">ont </w:t>
      </w:r>
      <w:r w:rsidR="00E749CD">
        <w:rPr>
          <w:bCs/>
        </w:rPr>
        <w:t>fait l’objet</w:t>
      </w:r>
      <w:r w:rsidR="004E1D97">
        <w:rPr>
          <w:bCs/>
        </w:rPr>
        <w:t xml:space="preserve"> </w:t>
      </w:r>
      <w:r w:rsidR="003975D4">
        <w:rPr>
          <w:bCs/>
        </w:rPr>
        <w:t xml:space="preserve">et a </w:t>
      </w:r>
      <w:r w:rsidR="004E1D97">
        <w:rPr>
          <w:bCs/>
        </w:rPr>
        <w:t>noté que l</w:t>
      </w:r>
      <w:r w:rsidR="003975D4">
        <w:rPr>
          <w:bCs/>
        </w:rPr>
        <w:t>e</w:t>
      </w:r>
      <w:r w:rsidR="004E1D97">
        <w:rPr>
          <w:bCs/>
        </w:rPr>
        <w:t>s</w:t>
      </w:r>
      <w:r w:rsidR="003975D4">
        <w:rPr>
          <w:bCs/>
        </w:rPr>
        <w:t xml:space="preserve"> agressions </w:t>
      </w:r>
      <w:r w:rsidR="004E1D97">
        <w:rPr>
          <w:bCs/>
        </w:rPr>
        <w:t>contre des journalistes ont augmenté en 2011.</w:t>
      </w:r>
      <w:r w:rsidR="00E749CD">
        <w:rPr>
          <w:bCs/>
        </w:rPr>
        <w:t xml:space="preserve"> </w:t>
      </w:r>
      <w:r w:rsidR="0021715D">
        <w:rPr>
          <w:bCs/>
        </w:rPr>
        <w:t>Au nombre des</w:t>
      </w:r>
      <w:r w:rsidR="00E749CD">
        <w:rPr>
          <w:bCs/>
        </w:rPr>
        <w:t xml:space="preserve"> moyens utilisés par les autorités pour restreindre la libre circulation de l’information, elle cite la détention, les interrogatoires et les convocations ainsi que l</w:t>
      </w:r>
      <w:r w:rsidR="00097B38">
        <w:rPr>
          <w:bCs/>
        </w:rPr>
        <w:t>es voies de fait</w:t>
      </w:r>
      <w:r w:rsidR="00E749CD">
        <w:rPr>
          <w:bCs/>
        </w:rPr>
        <w:t>, la destruction d’appareils, la confiscation de documents</w:t>
      </w:r>
      <w:r w:rsidR="00097B38">
        <w:rPr>
          <w:bCs/>
        </w:rPr>
        <w:t>, les attentats contre les bureaux de presse, l’expulsion et le refus de délivrance de visa.</w:t>
      </w:r>
    </w:p>
    <w:p w:rsidR="0021715D" w:rsidRDefault="0021715D" w:rsidP="004D4C42">
      <w:pPr>
        <w:pStyle w:val="ParNoG"/>
        <w:tabs>
          <w:tab w:val="clear" w:pos="1701"/>
          <w:tab w:val="num" w:pos="1191"/>
        </w:tabs>
        <w:ind w:left="624"/>
        <w:rPr>
          <w:lang w:val="fr-CA"/>
        </w:rPr>
      </w:pPr>
      <w:r>
        <w:rPr>
          <w:lang w:val="fr-CA"/>
        </w:rPr>
        <w:t xml:space="preserve">RSF a recommandé que la couverture médiatique soit reconnue comme un élément de protection des droits de l’homme lors des manifestations pacifiques; que le droit à l’information ne soit pas </w:t>
      </w:r>
      <w:r w:rsidR="006713AD">
        <w:rPr>
          <w:lang w:val="fr-CA"/>
        </w:rPr>
        <w:t>conditio</w:t>
      </w:r>
      <w:r>
        <w:rPr>
          <w:lang w:val="fr-CA"/>
        </w:rPr>
        <w:t xml:space="preserve">nné à </w:t>
      </w:r>
      <w:r w:rsidR="006A0368">
        <w:rPr>
          <w:lang w:val="fr-CA"/>
        </w:rPr>
        <w:t xml:space="preserve">la </w:t>
      </w:r>
      <w:r w:rsidR="006713AD">
        <w:rPr>
          <w:lang w:val="fr-CA"/>
        </w:rPr>
        <w:t>détent</w:t>
      </w:r>
      <w:r w:rsidR="006A0368">
        <w:rPr>
          <w:lang w:val="fr-CA"/>
        </w:rPr>
        <w:t xml:space="preserve">ion d’une carte </w:t>
      </w:r>
      <w:r w:rsidR="006713AD">
        <w:rPr>
          <w:lang w:val="fr-CA"/>
        </w:rPr>
        <w:t xml:space="preserve">de presse </w:t>
      </w:r>
      <w:r w:rsidR="006A0368">
        <w:rPr>
          <w:lang w:val="fr-CA"/>
        </w:rPr>
        <w:t xml:space="preserve">ou d’une accréditation; que les États respectent le droit à l’information et reconnaissent le droit des journalistes d’accéder aux </w:t>
      </w:r>
      <w:r w:rsidR="006713AD">
        <w:rPr>
          <w:lang w:val="fr-CA"/>
        </w:rPr>
        <w:t>lieux de rassemblement,</w:t>
      </w:r>
      <w:r w:rsidR="006A0368">
        <w:rPr>
          <w:lang w:val="fr-CA"/>
        </w:rPr>
        <w:t xml:space="preserve"> </w:t>
      </w:r>
      <w:r w:rsidR="006713AD">
        <w:rPr>
          <w:lang w:val="fr-CA"/>
        </w:rPr>
        <w:t>de filmer</w:t>
      </w:r>
      <w:r w:rsidR="006A0368">
        <w:rPr>
          <w:lang w:val="fr-CA"/>
        </w:rPr>
        <w:t xml:space="preserve"> et </w:t>
      </w:r>
      <w:r w:rsidR="006713AD">
        <w:rPr>
          <w:lang w:val="fr-CA"/>
        </w:rPr>
        <w:t xml:space="preserve">de mener </w:t>
      </w:r>
      <w:r w:rsidR="006A0368">
        <w:rPr>
          <w:lang w:val="fr-CA"/>
        </w:rPr>
        <w:t xml:space="preserve">des interviews; </w:t>
      </w:r>
      <w:r w:rsidR="006713AD">
        <w:rPr>
          <w:lang w:val="fr-CA"/>
        </w:rPr>
        <w:t xml:space="preserve">que les États respectent également la sécurité physique des journalistes et leur matériel ainsi que leurs principes fondamentaux, tels que la confidentialité de leurs sources. Par ailleurs, les États devraient interdire </w:t>
      </w:r>
      <w:r w:rsidR="004D4C42" w:rsidRPr="004D4C42">
        <w:rPr>
          <w:lang w:val="fr-CA"/>
        </w:rPr>
        <w:t xml:space="preserve">les refus de visa ou d’accréditation </w:t>
      </w:r>
      <w:r w:rsidR="004D4C42">
        <w:rPr>
          <w:lang w:val="fr-CA"/>
        </w:rPr>
        <w:t>et</w:t>
      </w:r>
      <w:r w:rsidR="004D4C42" w:rsidRPr="004D4C42">
        <w:rPr>
          <w:lang w:val="fr-CA"/>
        </w:rPr>
        <w:t xml:space="preserve"> le refoulement de journalistes</w:t>
      </w:r>
      <w:r w:rsidR="004D4C42">
        <w:rPr>
          <w:lang w:val="fr-CA"/>
        </w:rPr>
        <w:t xml:space="preserve">; les forces de l’ordre devraient respecter la neutralité des journalistes et devraient être formées au respect </w:t>
      </w:r>
      <w:r w:rsidR="004D4C42" w:rsidRPr="004D4C42">
        <w:rPr>
          <w:lang w:val="fr-CA"/>
        </w:rPr>
        <w:t xml:space="preserve">des </w:t>
      </w:r>
      <w:r w:rsidR="004D4C42">
        <w:rPr>
          <w:lang w:val="fr-CA"/>
        </w:rPr>
        <w:t>normes</w:t>
      </w:r>
      <w:r w:rsidR="004D4C42" w:rsidRPr="004D4C42">
        <w:rPr>
          <w:lang w:val="fr-CA"/>
        </w:rPr>
        <w:t xml:space="preserve"> internationa</w:t>
      </w:r>
      <w:r w:rsidR="004D4C42">
        <w:rPr>
          <w:lang w:val="fr-CA"/>
        </w:rPr>
        <w:t>les en matière de</w:t>
      </w:r>
      <w:r w:rsidR="004D4C42" w:rsidRPr="004D4C42">
        <w:rPr>
          <w:lang w:val="fr-CA"/>
        </w:rPr>
        <w:t xml:space="preserve"> liberté d’information</w:t>
      </w:r>
      <w:r w:rsidR="005A4F5A">
        <w:rPr>
          <w:lang w:val="fr-CA"/>
        </w:rPr>
        <w:t xml:space="preserve">, de même qu’au respect </w:t>
      </w:r>
      <w:r w:rsidR="004D4C42">
        <w:rPr>
          <w:lang w:val="fr-CA"/>
        </w:rPr>
        <w:t>du travail des médias durant les manifestations. Enfin, les États devraient l</w:t>
      </w:r>
      <w:r w:rsidR="004D4C42" w:rsidRPr="004D4C42">
        <w:rPr>
          <w:lang w:val="fr-CA"/>
        </w:rPr>
        <w:t xml:space="preserve">utter efficacement contre l’impunité des responsables d’exactions </w:t>
      </w:r>
      <w:r w:rsidR="004D4C42">
        <w:rPr>
          <w:lang w:val="fr-CA"/>
        </w:rPr>
        <w:t xml:space="preserve">contre les journalistes </w:t>
      </w:r>
      <w:r w:rsidR="004D4C42" w:rsidRPr="004D4C42">
        <w:rPr>
          <w:lang w:val="fr-CA"/>
        </w:rPr>
        <w:t>par l’introduction de poursuites systématiques et la mise en place de sanctions pénales et disciplinaires</w:t>
      </w:r>
      <w:r w:rsidR="004D4C42">
        <w:rPr>
          <w:lang w:val="fr-CA"/>
        </w:rPr>
        <w:t>.</w:t>
      </w:r>
    </w:p>
    <w:p w:rsidR="004D4C42" w:rsidRDefault="004D4C42" w:rsidP="004D4C42">
      <w:pPr>
        <w:pStyle w:val="ParNoG"/>
        <w:tabs>
          <w:tab w:val="clear" w:pos="1701"/>
          <w:tab w:val="num" w:pos="1191"/>
        </w:tabs>
        <w:ind w:left="624"/>
        <w:rPr>
          <w:lang w:val="fr-CA"/>
        </w:rPr>
      </w:pPr>
      <w:r>
        <w:rPr>
          <w:lang w:val="fr-CA"/>
        </w:rPr>
        <w:t xml:space="preserve">L’organisation ARTICLE 19 a également mis en relief le rôle </w:t>
      </w:r>
      <w:r w:rsidR="00EC7796">
        <w:rPr>
          <w:lang w:val="fr-CA"/>
        </w:rPr>
        <w:t>joué par l</w:t>
      </w:r>
      <w:r>
        <w:rPr>
          <w:lang w:val="fr-CA"/>
        </w:rPr>
        <w:t xml:space="preserve">es médias, </w:t>
      </w:r>
      <w:r w:rsidR="00EC7796">
        <w:rPr>
          <w:lang w:val="fr-CA"/>
        </w:rPr>
        <w:t xml:space="preserve">notant que les attaques </w:t>
      </w:r>
      <w:r w:rsidR="00314308">
        <w:rPr>
          <w:lang w:val="fr-CA"/>
        </w:rPr>
        <w:t>contre d</w:t>
      </w:r>
      <w:r w:rsidR="00EC7796">
        <w:rPr>
          <w:lang w:val="fr-CA"/>
        </w:rPr>
        <w:t xml:space="preserve">es journalistes et « journalistes citoyens » </w:t>
      </w:r>
      <w:r w:rsidR="00314308">
        <w:rPr>
          <w:lang w:val="fr-CA"/>
        </w:rPr>
        <w:t>couvrant des</w:t>
      </w:r>
      <w:r w:rsidR="00EC7796">
        <w:rPr>
          <w:lang w:val="fr-CA"/>
        </w:rPr>
        <w:t xml:space="preserve"> réunions</w:t>
      </w:r>
      <w:r w:rsidR="00314308">
        <w:rPr>
          <w:lang w:val="fr-CA"/>
        </w:rPr>
        <w:t xml:space="preserve"> devraient être considérées comme des violations du droit à la liberté de réunion pacifique et du droit à la liberté d’expression. Elle a cité l’arrêt de la Cour interaméricaine des droits de l'homme concernant </w:t>
      </w:r>
      <w:r w:rsidR="007455A5">
        <w:rPr>
          <w:lang w:val="fr-CA"/>
        </w:rPr>
        <w:t>l’</w:t>
      </w:r>
      <w:r w:rsidR="00314308">
        <w:rPr>
          <w:lang w:val="fr-CA"/>
        </w:rPr>
        <w:t xml:space="preserve">agression </w:t>
      </w:r>
      <w:r w:rsidR="007455A5">
        <w:rPr>
          <w:lang w:val="fr-CA"/>
        </w:rPr>
        <w:t>dont a été victime</w:t>
      </w:r>
      <w:r w:rsidR="00314308">
        <w:rPr>
          <w:lang w:val="fr-CA"/>
        </w:rPr>
        <w:t xml:space="preserve"> un vidéo-journaliste qui filmait une manifestation, dans lequel </w:t>
      </w:r>
      <w:r w:rsidR="005A4F5A">
        <w:rPr>
          <w:lang w:val="fr-CA"/>
        </w:rPr>
        <w:t>il est</w:t>
      </w:r>
      <w:r w:rsidR="00314308">
        <w:rPr>
          <w:lang w:val="fr-CA"/>
        </w:rPr>
        <w:t xml:space="preserve"> conclu que la diffusion d’informations sur de telles manifestations permet à ceux qui les voient d’observer et de vérifier si, au cours de la manifestation, les forces armées se sont correctement acquittées de leurs </w:t>
      </w:r>
      <w:r w:rsidR="00F17C66">
        <w:rPr>
          <w:lang w:val="fr-CA"/>
        </w:rPr>
        <w:t>fonc</w:t>
      </w:r>
      <w:r w:rsidR="00314308">
        <w:rPr>
          <w:lang w:val="fr-CA"/>
        </w:rPr>
        <w:t xml:space="preserve">tions </w:t>
      </w:r>
      <w:r w:rsidR="00F17C66">
        <w:rPr>
          <w:lang w:val="fr-CA"/>
        </w:rPr>
        <w:t>et si leur usage de</w:t>
      </w:r>
      <w:r w:rsidR="00314308">
        <w:rPr>
          <w:lang w:val="fr-CA"/>
        </w:rPr>
        <w:t xml:space="preserve"> la force</w:t>
      </w:r>
      <w:r w:rsidR="00F17C66">
        <w:rPr>
          <w:lang w:val="fr-CA"/>
        </w:rPr>
        <w:t xml:space="preserve"> a été approprié</w:t>
      </w:r>
      <w:r w:rsidR="00F17C66">
        <w:rPr>
          <w:rStyle w:val="Appelnotedebasdep"/>
        </w:rPr>
        <w:footnoteReference w:id="32"/>
      </w:r>
      <w:r w:rsidR="00F17C66">
        <w:rPr>
          <w:lang w:val="fr-CA"/>
        </w:rPr>
        <w:t>.</w:t>
      </w:r>
    </w:p>
    <w:p w:rsidR="0027725D" w:rsidRPr="0027725D" w:rsidRDefault="0027725D" w:rsidP="0027725D">
      <w:pPr>
        <w:pStyle w:val="ParNoG"/>
        <w:numPr>
          <w:ilvl w:val="0"/>
          <w:numId w:val="0"/>
        </w:numPr>
        <w:ind w:left="624"/>
        <w:rPr>
          <w:b/>
          <w:lang w:val="fr-CA"/>
        </w:rPr>
      </w:pPr>
      <w:r w:rsidRPr="0027725D">
        <w:rPr>
          <w:b/>
          <w:lang w:val="fr-CA"/>
        </w:rPr>
        <w:t>Nouvelles technologies</w:t>
      </w:r>
    </w:p>
    <w:p w:rsidR="0027725D" w:rsidRDefault="0027725D" w:rsidP="004D4C42">
      <w:pPr>
        <w:pStyle w:val="ParNoG"/>
        <w:tabs>
          <w:tab w:val="clear" w:pos="1701"/>
          <w:tab w:val="num" w:pos="1191"/>
        </w:tabs>
        <w:ind w:left="624"/>
        <w:rPr>
          <w:lang w:val="fr-CA"/>
        </w:rPr>
      </w:pPr>
      <w:r>
        <w:rPr>
          <w:lang w:val="fr-CA"/>
        </w:rPr>
        <w:t xml:space="preserve">Les nouvelles technologies, telles qu’Internet, la messagerie électronique, </w:t>
      </w:r>
      <w:r w:rsidR="007455A5">
        <w:rPr>
          <w:lang w:val="fr-CA"/>
        </w:rPr>
        <w:t xml:space="preserve">y compris </w:t>
      </w:r>
      <w:r w:rsidR="00A11580">
        <w:rPr>
          <w:lang w:val="fr-CA"/>
        </w:rPr>
        <w:t>les minimessages</w:t>
      </w:r>
      <w:r w:rsidR="007455A5">
        <w:rPr>
          <w:lang w:val="fr-CA"/>
        </w:rPr>
        <w:t>, Twitter, Facebook et la téléphonie mobile</w:t>
      </w:r>
      <w:r w:rsidR="00C744DD">
        <w:rPr>
          <w:lang w:val="fr-CA"/>
        </w:rPr>
        <w:t xml:space="preserve"> ont changé la manière dont les gens protestent pacifiquement et remettent également en question les notions traditionnelles de ce qui constitue une réunion pacifique</w:t>
      </w:r>
      <w:r w:rsidR="00C744DD">
        <w:rPr>
          <w:rStyle w:val="Appelnotedebasdep"/>
        </w:rPr>
        <w:footnoteReference w:id="33"/>
      </w:r>
      <w:r w:rsidR="00C744DD">
        <w:rPr>
          <w:lang w:val="fr-CA"/>
        </w:rPr>
        <w:t>.</w:t>
      </w:r>
      <w:r w:rsidR="002C7AC4">
        <w:rPr>
          <w:lang w:val="fr-CA"/>
        </w:rPr>
        <w:t xml:space="preserve"> </w:t>
      </w:r>
      <w:r w:rsidR="005A4F5A">
        <w:rPr>
          <w:lang w:val="fr-CA"/>
        </w:rPr>
        <w:t>ARTICLE 19 a noté qu’en 2010, la</w:t>
      </w:r>
      <w:r w:rsidR="002C7AC4">
        <w:rPr>
          <w:lang w:val="fr-CA"/>
        </w:rPr>
        <w:t xml:space="preserve"> Secrétaire d’État américain</w:t>
      </w:r>
      <w:r w:rsidR="005A4F5A">
        <w:rPr>
          <w:lang w:val="fr-CA"/>
        </w:rPr>
        <w:t>e</w:t>
      </w:r>
      <w:r w:rsidR="002C7AC4">
        <w:rPr>
          <w:lang w:val="fr-CA"/>
        </w:rPr>
        <w:t xml:space="preserve"> a </w:t>
      </w:r>
      <w:r w:rsidR="00C16549">
        <w:rPr>
          <w:lang w:val="fr-CA"/>
        </w:rPr>
        <w:t>qualifié</w:t>
      </w:r>
      <w:r w:rsidR="002C7AC4">
        <w:rPr>
          <w:lang w:val="fr-CA"/>
        </w:rPr>
        <w:t xml:space="preserve"> les plateformes en ligne </w:t>
      </w:r>
      <w:r w:rsidR="00C16549">
        <w:rPr>
          <w:lang w:val="fr-CA"/>
        </w:rPr>
        <w:t>de</w:t>
      </w:r>
      <w:r w:rsidR="002C7AC4">
        <w:rPr>
          <w:lang w:val="fr-CA"/>
        </w:rPr>
        <w:t xml:space="preserve"> place publique moderne et a </w:t>
      </w:r>
      <w:r w:rsidR="006E781F">
        <w:rPr>
          <w:lang w:val="fr-CA"/>
        </w:rPr>
        <w:t>soutenu</w:t>
      </w:r>
      <w:r w:rsidR="002C7AC4">
        <w:rPr>
          <w:lang w:val="fr-CA"/>
        </w:rPr>
        <w:t xml:space="preserve"> que le droit à la liberté de réunion s’applique aux </w:t>
      </w:r>
      <w:r w:rsidR="006E781F">
        <w:rPr>
          <w:lang w:val="fr-CA"/>
        </w:rPr>
        <w:t>mouvements de protestation</w:t>
      </w:r>
      <w:r w:rsidR="002C7AC4">
        <w:rPr>
          <w:lang w:val="fr-CA"/>
        </w:rPr>
        <w:t xml:space="preserve"> en ligne.</w:t>
      </w:r>
    </w:p>
    <w:p w:rsidR="002C7AC4" w:rsidRPr="000A773D" w:rsidRDefault="002C7AC4" w:rsidP="004D4C42">
      <w:pPr>
        <w:pStyle w:val="ParNoG"/>
        <w:tabs>
          <w:tab w:val="clear" w:pos="1701"/>
          <w:tab w:val="num" w:pos="1191"/>
        </w:tabs>
        <w:ind w:left="624"/>
        <w:rPr>
          <w:lang w:val="fr-CA"/>
        </w:rPr>
      </w:pPr>
      <w:r>
        <w:rPr>
          <w:lang w:val="fr-CA"/>
        </w:rPr>
        <w:t>L’</w:t>
      </w:r>
      <w:r w:rsidR="00CB11B6">
        <w:t xml:space="preserve">Association for Progressive Communications (Association pour le progrès des communications, APC) a fait observer que les nouvelles formes de protestation en ligne ne sont pas bien prises en compte par les législations nationales et la législation en matière de droits de l’homme. Les formes de protestation légalement autorisées restent encore à définir. </w:t>
      </w:r>
      <w:r w:rsidR="009C5D20">
        <w:t xml:space="preserve">L’APC a fait mention des attaques </w:t>
      </w:r>
      <w:r w:rsidR="0071457D">
        <w:t xml:space="preserve">par saturation, qui sont une forme de protestation en ligne souvent utilisée. Ces attaques consistent à </w:t>
      </w:r>
      <w:r w:rsidR="00E8497D">
        <w:t>envoyer continuellement</w:t>
      </w:r>
      <w:r w:rsidR="0071457D">
        <w:t xml:space="preserve">, avec l’aide de nombreux autres utilisateurs, </w:t>
      </w:r>
      <w:r w:rsidR="00E8497D">
        <w:t>une avalanche d’informations inutiles à un serveur</w:t>
      </w:r>
      <w:r w:rsidR="0071457D">
        <w:t>, ce qui pe</w:t>
      </w:r>
      <w:r w:rsidR="00E8497D">
        <w:t>ut le</w:t>
      </w:r>
      <w:r w:rsidR="0071457D">
        <w:t xml:space="preserve"> ralentir ou le paralyser temporairement. </w:t>
      </w:r>
      <w:r w:rsidR="00E8497D">
        <w:t xml:space="preserve">L’APC a fait remarquer que </w:t>
      </w:r>
      <w:r w:rsidR="005354ED">
        <w:t>ce genre d</w:t>
      </w:r>
      <w:r w:rsidR="00E8497D">
        <w:t xml:space="preserve">’attaque peut être un acte de protestation </w:t>
      </w:r>
      <w:r w:rsidR="005354ED">
        <w:t>que l’on pourrait considérer comme la version en ligne du</w:t>
      </w:r>
      <w:r w:rsidR="00E8497D">
        <w:t xml:space="preserve"> sit-in.</w:t>
      </w:r>
      <w:r w:rsidR="005354ED">
        <w:t xml:space="preserve"> </w:t>
      </w:r>
      <w:r w:rsidR="00CC656A">
        <w:t>D’habitude, l’attaque par saturation rend un serveur momentanément indisponible, d</w:t>
      </w:r>
      <w:r w:rsidR="005354ED">
        <w:t xml:space="preserve">e </w:t>
      </w:r>
      <w:r w:rsidR="00CC656A">
        <w:t xml:space="preserve">la </w:t>
      </w:r>
      <w:r w:rsidR="005354ED">
        <w:t xml:space="preserve">même </w:t>
      </w:r>
      <w:r w:rsidR="00CC656A">
        <w:t xml:space="preserve">façon </w:t>
      </w:r>
      <w:r w:rsidR="005354ED">
        <w:t>que les protestataires bloqu</w:t>
      </w:r>
      <w:r w:rsidR="00CC656A">
        <w:t>a</w:t>
      </w:r>
      <w:r w:rsidR="005354ED">
        <w:t>nt l’</w:t>
      </w:r>
      <w:r w:rsidR="00CC656A">
        <w:t>entrée d’</w:t>
      </w:r>
      <w:r w:rsidR="005354ED">
        <w:t xml:space="preserve">un </w:t>
      </w:r>
      <w:r w:rsidR="005A4F5A">
        <w:t xml:space="preserve">édifice </w:t>
      </w:r>
      <w:r w:rsidR="00CC656A">
        <w:t>provoquent un arrêt des activités de</w:t>
      </w:r>
      <w:r w:rsidR="005A4F5A">
        <w:t>s</w:t>
      </w:r>
      <w:r w:rsidR="00CC656A">
        <w:t xml:space="preserve"> occupants </w:t>
      </w:r>
      <w:r w:rsidR="005A4F5A">
        <w:t xml:space="preserve">de ce dernier </w:t>
      </w:r>
      <w:r w:rsidR="005354ED">
        <w:t xml:space="preserve">pendant une </w:t>
      </w:r>
      <w:r w:rsidR="00CC656A">
        <w:t xml:space="preserve">durée </w:t>
      </w:r>
      <w:r w:rsidR="005354ED">
        <w:t>limitée</w:t>
      </w:r>
      <w:r w:rsidR="00CC656A">
        <w:t>, jusqu’à ce que la manifestation cesse. Par elle-même, une telle attaque ne compromet généralement pas la sécurité d</w:t>
      </w:r>
      <w:r w:rsidR="00A05AF2">
        <w:t>u site visé</w:t>
      </w:r>
      <w:r w:rsidR="00CC656A">
        <w:t xml:space="preserve"> et ne permet pas de voler des informations, à moins que </w:t>
      </w:r>
      <w:r w:rsidR="00A05AF2">
        <w:t xml:space="preserve">celui-ci ne fasse l’objet d’un piratage informatique par un hacker alors qu’il </w:t>
      </w:r>
      <w:r w:rsidR="00F7303F">
        <w:t>est vulnérable</w:t>
      </w:r>
      <w:r w:rsidR="00A05AF2">
        <w:t xml:space="preserve">. Un tribunal allemand a tranché qu’une attaque par saturation peut, en fonction de sa finalité, être considéré comme une forme légitime de protestation et non un crime. De l’avis de l’APC, </w:t>
      </w:r>
      <w:r w:rsidR="002A5DE8">
        <w:t xml:space="preserve">il est nécessaire que la loi établisse une distinction entre les attaques par saturation </w:t>
      </w:r>
      <w:r w:rsidR="00F7303F">
        <w:t xml:space="preserve">menées </w:t>
      </w:r>
      <w:r w:rsidR="002A5DE8">
        <w:t>à des fins de protestation et celles utilisant des réseaux de machines zombies</w:t>
      </w:r>
      <w:r w:rsidR="00B2195B">
        <w:t xml:space="preserve"> </w:t>
      </w:r>
      <w:r w:rsidR="00F7303F">
        <w:t>contrôlés par des hackers</w:t>
      </w:r>
      <w:r w:rsidR="00B10DF1">
        <w:t>,</w:t>
      </w:r>
      <w:r w:rsidR="00F7303F">
        <w:t xml:space="preserve"> </w:t>
      </w:r>
      <w:r w:rsidR="00B2195B">
        <w:t xml:space="preserve">qui portent préjudice aussi bien à leurs cibles qu’aux propriétaires des ordinateurs zombies </w:t>
      </w:r>
      <w:r w:rsidR="000A773D">
        <w:t>mis à contribution</w:t>
      </w:r>
      <w:r w:rsidR="00F7303F">
        <w:t xml:space="preserve"> malgré eux. L’APC a </w:t>
      </w:r>
      <w:r w:rsidR="00A11580">
        <w:t xml:space="preserve">donné à comprendre </w:t>
      </w:r>
      <w:r w:rsidR="00F7303F">
        <w:t>que ces deux groupes devraient être jugés différemment.</w:t>
      </w:r>
    </w:p>
    <w:p w:rsidR="000A773D" w:rsidRPr="000A773D" w:rsidRDefault="000A773D" w:rsidP="000A773D">
      <w:pPr>
        <w:pStyle w:val="ParNoG"/>
        <w:numPr>
          <w:ilvl w:val="0"/>
          <w:numId w:val="0"/>
        </w:numPr>
        <w:ind w:left="624"/>
        <w:rPr>
          <w:b/>
          <w:lang w:val="fr-CA"/>
        </w:rPr>
      </w:pPr>
      <w:r w:rsidRPr="000A773D">
        <w:rPr>
          <w:b/>
          <w:lang w:val="fr-CA"/>
        </w:rPr>
        <w:t>Formation et orientations</w:t>
      </w:r>
    </w:p>
    <w:p w:rsidR="000A773D" w:rsidRDefault="00DD46FA" w:rsidP="004D4C42">
      <w:pPr>
        <w:pStyle w:val="ParNoG"/>
        <w:tabs>
          <w:tab w:val="clear" w:pos="1701"/>
          <w:tab w:val="num" w:pos="1191"/>
        </w:tabs>
        <w:ind w:left="624"/>
        <w:rPr>
          <w:lang w:val="fr-CA"/>
        </w:rPr>
      </w:pPr>
      <w:r>
        <w:rPr>
          <w:lang w:val="fr-CA"/>
        </w:rPr>
        <w:t>Un certain nombre d’États</w:t>
      </w:r>
      <w:r w:rsidR="00D01485">
        <w:rPr>
          <w:rStyle w:val="Appelnotedebasdep"/>
        </w:rPr>
        <w:footnoteReference w:id="34"/>
      </w:r>
      <w:r>
        <w:rPr>
          <w:lang w:val="fr-CA"/>
        </w:rPr>
        <w:t xml:space="preserve"> et d’institutions nationales de défense des droits de l’homme ont fait savoir qu’ils fournissent une formation en matière de droits de l’homme aux autorités administratives et/ou à la police pour promouvoir et protéger les droits de l’homme dans le contexte des manifestations pacifiques.</w:t>
      </w:r>
    </w:p>
    <w:p w:rsidR="00DD46FA" w:rsidRDefault="00DD46FA" w:rsidP="004D4C42">
      <w:pPr>
        <w:pStyle w:val="ParNoG"/>
        <w:tabs>
          <w:tab w:val="clear" w:pos="1701"/>
          <w:tab w:val="num" w:pos="1191"/>
        </w:tabs>
        <w:ind w:left="624"/>
        <w:rPr>
          <w:lang w:val="fr-CA"/>
        </w:rPr>
      </w:pPr>
      <w:r>
        <w:rPr>
          <w:lang w:val="fr-CA"/>
        </w:rPr>
        <w:t xml:space="preserve">L’Azerbaïdjan a </w:t>
      </w:r>
      <w:r w:rsidR="00A11580">
        <w:rPr>
          <w:lang w:val="fr-CA"/>
        </w:rPr>
        <w:t>indiqu</w:t>
      </w:r>
      <w:r>
        <w:rPr>
          <w:lang w:val="fr-CA"/>
        </w:rPr>
        <w:t>é que son programme de formation</w:t>
      </w:r>
      <w:r w:rsidR="00A11580">
        <w:rPr>
          <w:lang w:val="fr-CA"/>
        </w:rPr>
        <w:t xml:space="preserve"> </w:t>
      </w:r>
      <w:r w:rsidR="005F2046">
        <w:rPr>
          <w:lang w:val="fr-CA"/>
        </w:rPr>
        <w:t>porte sur</w:t>
      </w:r>
      <w:r w:rsidR="00A11580">
        <w:rPr>
          <w:lang w:val="fr-CA"/>
        </w:rPr>
        <w:t xml:space="preserve"> divers </w:t>
      </w:r>
      <w:r w:rsidR="005F2046">
        <w:rPr>
          <w:lang w:val="fr-CA"/>
        </w:rPr>
        <w:t>sujets, dont</w:t>
      </w:r>
      <w:r w:rsidR="00A11580">
        <w:rPr>
          <w:lang w:val="fr-CA"/>
        </w:rPr>
        <w:t xml:space="preserve"> le rôle de la police durant les manifestations; les manifestations en tant qu’expression du principe démocrati</w:t>
      </w:r>
      <w:r w:rsidR="00FB697A">
        <w:rPr>
          <w:lang w:val="fr-CA"/>
        </w:rPr>
        <w:t>qu</w:t>
      </w:r>
      <w:r w:rsidR="00A11580">
        <w:rPr>
          <w:lang w:val="fr-CA"/>
        </w:rPr>
        <w:t xml:space="preserve">e; la coopération entre les organisateurs et la police; </w:t>
      </w:r>
      <w:r w:rsidR="00FB697A">
        <w:rPr>
          <w:lang w:val="fr-CA"/>
        </w:rPr>
        <w:t xml:space="preserve">les utilisations du cordon policier; </w:t>
      </w:r>
      <w:r w:rsidR="00A11580">
        <w:rPr>
          <w:lang w:val="fr-CA"/>
        </w:rPr>
        <w:t xml:space="preserve">les stratégies de désamorçage des tensions; la gestion de divers rassemblements; la gestion des </w:t>
      </w:r>
      <w:r w:rsidR="00FB697A">
        <w:rPr>
          <w:lang w:val="fr-CA"/>
        </w:rPr>
        <w:t>émeutes; la rég</w:t>
      </w:r>
      <w:r w:rsidR="00AA658D">
        <w:rPr>
          <w:lang w:val="fr-CA"/>
        </w:rPr>
        <w:t>ul</w:t>
      </w:r>
      <w:r w:rsidR="00FB697A">
        <w:rPr>
          <w:lang w:val="fr-CA"/>
        </w:rPr>
        <w:t>ation des voies de circulation et autres endroits; et le respect et la protection de la dignité humaine.</w:t>
      </w:r>
    </w:p>
    <w:p w:rsidR="00FB697A" w:rsidRDefault="00B20550" w:rsidP="004D4C42">
      <w:pPr>
        <w:pStyle w:val="ParNoG"/>
        <w:tabs>
          <w:tab w:val="clear" w:pos="1701"/>
          <w:tab w:val="num" w:pos="1191"/>
        </w:tabs>
        <w:ind w:left="624"/>
        <w:rPr>
          <w:lang w:val="fr-CA"/>
        </w:rPr>
      </w:pPr>
      <w:r>
        <w:rPr>
          <w:lang w:val="fr-CA"/>
        </w:rPr>
        <w:t xml:space="preserve">Le Paraguay a rapporté que la publication en 2011 du </w:t>
      </w:r>
      <w:r>
        <w:rPr>
          <w:i/>
          <w:lang w:val="fr-CA"/>
        </w:rPr>
        <w:t>Manuel sur l’usage de la force</w:t>
      </w:r>
      <w:r>
        <w:rPr>
          <w:lang w:val="fr-CA"/>
        </w:rPr>
        <w:t xml:space="preserve"> par la Police nationale a été une mesure importante de promotion et de protection du droit de manifestation pacifique. La Slovénie a fait savoir qu’elle fournit à la police des formations destinées à doter les représentants de la loi d’une connaissance préalable de la législation constitutionnelle et des droits de l’homme, y compris la protection de ces derniers lors de l’exercice des pouvoirs de police. Elle possède également un programme de formation spécial intitulé « Prendre conscience des stéréotypes, surmonter les préjugés et prévenir la discrimination dans le cadre d’une société multiculturelle ».</w:t>
      </w:r>
    </w:p>
    <w:p w:rsidR="00B20550" w:rsidRDefault="00B20550" w:rsidP="004D4C42">
      <w:pPr>
        <w:pStyle w:val="ParNoG"/>
        <w:tabs>
          <w:tab w:val="clear" w:pos="1701"/>
          <w:tab w:val="num" w:pos="1191"/>
        </w:tabs>
        <w:ind w:left="624"/>
        <w:rPr>
          <w:lang w:val="fr-CA"/>
        </w:rPr>
      </w:pPr>
      <w:r>
        <w:rPr>
          <w:lang w:val="fr-CA"/>
        </w:rPr>
        <w:t xml:space="preserve">La </w:t>
      </w:r>
      <w:r w:rsidR="00AA658D">
        <w:rPr>
          <w:lang w:val="fr-CA"/>
        </w:rPr>
        <w:t xml:space="preserve">Turquie </w:t>
      </w:r>
      <w:r>
        <w:rPr>
          <w:lang w:val="fr-CA"/>
        </w:rPr>
        <w:t xml:space="preserve">a déclaré </w:t>
      </w:r>
      <w:r w:rsidR="00AA658D">
        <w:rPr>
          <w:lang w:val="fr-CA"/>
        </w:rPr>
        <w:t>avoir adopté en 2011 une directive sur la procédure et les principes régissant la conduite du personnel responsable lors des rassemblements et défilés protestataires</w:t>
      </w:r>
      <w:r w:rsidR="00C637B2">
        <w:rPr>
          <w:lang w:val="fr-CA"/>
        </w:rPr>
        <w:t>, dont le but est</w:t>
      </w:r>
      <w:r w:rsidR="00B10DF1">
        <w:rPr>
          <w:lang w:val="fr-CA"/>
        </w:rPr>
        <w:t xml:space="preserve"> d’assurer une </w:t>
      </w:r>
      <w:r w:rsidR="00C637B2">
        <w:rPr>
          <w:lang w:val="fr-CA"/>
        </w:rPr>
        <w:t>certaine uniformité</w:t>
      </w:r>
      <w:r w:rsidR="00B10DF1">
        <w:rPr>
          <w:lang w:val="fr-CA"/>
        </w:rPr>
        <w:t xml:space="preserve"> </w:t>
      </w:r>
      <w:r w:rsidR="00AA658D">
        <w:rPr>
          <w:lang w:val="fr-CA"/>
        </w:rPr>
        <w:t xml:space="preserve">au niveau national, notamment en ce qui concerne le degré de force </w:t>
      </w:r>
      <w:r w:rsidR="00C637B2">
        <w:rPr>
          <w:lang w:val="fr-CA"/>
        </w:rPr>
        <w:t>considéré comme</w:t>
      </w:r>
      <w:r w:rsidR="00AA658D">
        <w:rPr>
          <w:lang w:val="fr-CA"/>
        </w:rPr>
        <w:t xml:space="preserve"> proportionn</w:t>
      </w:r>
      <w:r w:rsidR="00C637B2">
        <w:rPr>
          <w:lang w:val="fr-CA"/>
        </w:rPr>
        <w:t>el</w:t>
      </w:r>
      <w:r w:rsidR="00AA658D">
        <w:rPr>
          <w:lang w:val="fr-CA"/>
        </w:rPr>
        <w:t>.</w:t>
      </w:r>
    </w:p>
    <w:p w:rsidR="00AA658D" w:rsidRPr="00AA658D" w:rsidRDefault="00AA658D" w:rsidP="00AA658D">
      <w:pPr>
        <w:pStyle w:val="ParNoG"/>
        <w:numPr>
          <w:ilvl w:val="0"/>
          <w:numId w:val="0"/>
        </w:numPr>
        <w:ind w:left="624"/>
        <w:rPr>
          <w:b/>
          <w:lang w:val="fr-CA"/>
        </w:rPr>
      </w:pPr>
      <w:r w:rsidRPr="00AA658D">
        <w:rPr>
          <w:b/>
          <w:lang w:val="fr-CA"/>
        </w:rPr>
        <w:t>Activités de recherche</w:t>
      </w:r>
    </w:p>
    <w:p w:rsidR="00AA658D" w:rsidRPr="00BB4EA1" w:rsidRDefault="00F13DD1" w:rsidP="004D4C42">
      <w:pPr>
        <w:pStyle w:val="ParNoG"/>
        <w:tabs>
          <w:tab w:val="clear" w:pos="1701"/>
          <w:tab w:val="num" w:pos="1191"/>
        </w:tabs>
        <w:ind w:left="624"/>
        <w:rPr>
          <w:lang w:val="fr-CA"/>
        </w:rPr>
      </w:pPr>
      <w:r>
        <w:t xml:space="preserve">En Hongrie, le Bureau du Commissaire pour les droits fondamentaux a lancé un projet sur la liberté de réunion qui comprend une enquête sur la manière dont les rapports sont pris en compte par les représentants de la loi et le degré auquel les mesures prises lors des manifestations se conforment aux exigences de la Constitution et de la législation applicable. Plus de 150 manifestations ont, depuis, été passées en revue. </w:t>
      </w:r>
      <w:r w:rsidR="00D01485">
        <w:t xml:space="preserve">Les résultats ont révélé que les manifestations </w:t>
      </w:r>
      <w:r w:rsidR="00D516CF">
        <w:t xml:space="preserve">débordent </w:t>
      </w:r>
      <w:r w:rsidR="00D01485">
        <w:t>plus souvent hors des frontières nationales</w:t>
      </w:r>
      <w:r w:rsidR="00D516CF">
        <w:t xml:space="preserve"> et que les tactiques de manifestation évoluent et se développent. Il en a été conclu qu</w:t>
      </w:r>
      <w:r w:rsidR="00BB4EA1">
        <w:t>’une internationalisation des compétences techniques policières s’impose, ce qui a conduit à la mise sur pied d’un projet avec 20 organisations partenaires de 11 pays, dont des organismes chargés de l’application des lois, des établissements de recherche et d’enseignement, la police nationale et le Bureau du Commissaire pour les droits fondamentaux.</w:t>
      </w:r>
    </w:p>
    <w:p w:rsidR="00BB4EA1" w:rsidRPr="00BB4EA1" w:rsidRDefault="00BB4EA1" w:rsidP="009F3086">
      <w:pPr>
        <w:pStyle w:val="Style1"/>
        <w:keepLines w:val="0"/>
        <w:numPr>
          <w:ilvl w:val="0"/>
          <w:numId w:val="36"/>
        </w:numPr>
        <w:ind w:left="720"/>
      </w:pPr>
      <w:bookmarkStart w:id="19" w:name="_Toc383772280"/>
      <w:bookmarkStart w:id="20" w:name="_Toc383772372"/>
      <w:bookmarkStart w:id="21" w:name="_Toc383772727"/>
      <w:r w:rsidRPr="00AE5964">
        <w:t>Conclusions</w:t>
      </w:r>
      <w:bookmarkEnd w:id="19"/>
      <w:bookmarkEnd w:id="20"/>
      <w:bookmarkEnd w:id="21"/>
    </w:p>
    <w:p w:rsidR="007E0F2B" w:rsidRPr="00B8716A" w:rsidRDefault="00BB4EA1" w:rsidP="004D4C42">
      <w:pPr>
        <w:pStyle w:val="ParNoG"/>
        <w:tabs>
          <w:tab w:val="clear" w:pos="1701"/>
          <w:tab w:val="num" w:pos="1191"/>
        </w:tabs>
        <w:ind w:left="624"/>
        <w:rPr>
          <w:b/>
          <w:lang w:val="fr-CA"/>
        </w:rPr>
      </w:pPr>
      <w:r w:rsidRPr="00B8716A">
        <w:rPr>
          <w:b/>
          <w:lang w:val="fr-CA"/>
        </w:rPr>
        <w:t xml:space="preserve">Les manifestations pacifiques sont un aspect fondamental d’une démocratie vigoureuse. Les États devraient reconnaître </w:t>
      </w:r>
      <w:r w:rsidR="007E0F2B" w:rsidRPr="00B8716A">
        <w:rPr>
          <w:b/>
          <w:lang w:val="fr-CA"/>
        </w:rPr>
        <w:t>le rôle positif joué par les manifestations pacifiques en tant que moyen de renforcer les droits de l’homme et la démocratie. Ils devraient garantir les droits à la liberté de réunion pacifique, à la liberté d’association, à la liberté d’opinion et à la liberté d’expression, des éléments essentiels de la démocratie qui sont indispensables à la pleine jouissance de tous les droits humains.</w:t>
      </w:r>
    </w:p>
    <w:p w:rsidR="00BB4EA1" w:rsidRPr="00B8716A" w:rsidRDefault="00BB4EA1" w:rsidP="004D4C42">
      <w:pPr>
        <w:pStyle w:val="ParNoG"/>
        <w:tabs>
          <w:tab w:val="clear" w:pos="1701"/>
          <w:tab w:val="num" w:pos="1191"/>
        </w:tabs>
        <w:ind w:left="624"/>
        <w:rPr>
          <w:b/>
          <w:lang w:val="fr-CA"/>
        </w:rPr>
      </w:pPr>
      <w:r w:rsidRPr="00B8716A">
        <w:rPr>
          <w:b/>
          <w:lang w:val="fr-CA"/>
        </w:rPr>
        <w:t xml:space="preserve">La promotion et la protection </w:t>
      </w:r>
      <w:r w:rsidR="007E0F2B" w:rsidRPr="00B8716A">
        <w:rPr>
          <w:b/>
          <w:lang w:val="fr-CA"/>
        </w:rPr>
        <w:t xml:space="preserve">des droits de l’homme dans le contexte </w:t>
      </w:r>
      <w:r w:rsidRPr="00B8716A">
        <w:rPr>
          <w:b/>
          <w:lang w:val="fr-CA"/>
        </w:rPr>
        <w:t>des manifestations pacifiques exigent non seulement un cadre juridique adéquat mais aussi des efforts continus de mise en œuvre effective. L’établissement d’un dialogue entre, d’une part, les organisateurs de</w:t>
      </w:r>
      <w:r w:rsidR="00C637B2" w:rsidRPr="00B8716A">
        <w:rPr>
          <w:b/>
          <w:lang w:val="fr-CA"/>
        </w:rPr>
        <w:t>s</w:t>
      </w:r>
      <w:r w:rsidRPr="00B8716A">
        <w:rPr>
          <w:b/>
          <w:lang w:val="fr-CA"/>
        </w:rPr>
        <w:t xml:space="preserve"> manifestations et, d’autre part, les autorités administratives et la police, ainsi que la mise en place de programmes de formation des services de police portant sur les droits de l’homme, en particulier l’emploi de la force lors des manifestations, peuvent </w:t>
      </w:r>
      <w:r w:rsidR="007E0F2B" w:rsidRPr="00B8716A">
        <w:rPr>
          <w:b/>
          <w:lang w:val="fr-CA"/>
        </w:rPr>
        <w:t xml:space="preserve">également </w:t>
      </w:r>
      <w:r w:rsidRPr="00B8716A">
        <w:rPr>
          <w:b/>
          <w:lang w:val="fr-CA"/>
        </w:rPr>
        <w:t>contribuer à la promotion et à la protection des droits humains en matière de manifestations pacifiques.</w:t>
      </w:r>
    </w:p>
    <w:p w:rsidR="001D495C" w:rsidRPr="0022343C" w:rsidRDefault="00896FBA" w:rsidP="00ED2A7C">
      <w:pPr>
        <w:pStyle w:val="SingleTxtG"/>
        <w:spacing w:before="240" w:after="0"/>
        <w:ind w:left="624"/>
        <w:jc w:val="center"/>
        <w:rPr>
          <w:u w:val="single"/>
          <w:lang w:val="fr-CA"/>
        </w:rPr>
      </w:pPr>
      <w:r w:rsidRPr="0022343C">
        <w:rPr>
          <w:u w:val="single"/>
          <w:lang w:val="fr-CA"/>
        </w:rPr>
        <w:tab/>
      </w:r>
      <w:r w:rsidRPr="0022343C">
        <w:rPr>
          <w:u w:val="single"/>
          <w:lang w:val="fr-CA"/>
        </w:rPr>
        <w:tab/>
      </w:r>
      <w:r w:rsidRPr="0022343C">
        <w:rPr>
          <w:u w:val="single"/>
          <w:lang w:val="fr-CA"/>
        </w:rPr>
        <w:tab/>
      </w:r>
    </w:p>
    <w:sectPr w:rsidR="001D495C" w:rsidRPr="0022343C" w:rsidSect="001B4C0D">
      <w:footnotePr>
        <w:numRestart w:val="eachSect"/>
      </w:footnotePr>
      <w:endnotePr>
        <w:numFmt w:val="decimal"/>
      </w:endnotePr>
      <w:type w:val="continuous"/>
      <w:pgSz w:w="11907" w:h="16840" w:code="9"/>
      <w:pgMar w:top="993" w:right="1134" w:bottom="2268" w:left="1134" w:header="1134" w:footer="175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D0" w:rsidRDefault="00B26DD0"/>
  </w:endnote>
  <w:endnote w:type="continuationSeparator" w:id="0">
    <w:p w:rsidR="00B26DD0" w:rsidRDefault="00B26DD0"/>
  </w:endnote>
  <w:endnote w:type="continuationNotice" w:id="1">
    <w:p w:rsidR="00B26DD0" w:rsidRPr="00770C75" w:rsidRDefault="00B26DD0" w:rsidP="00770C75">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C1" w:rsidRPr="00C721C1" w:rsidRDefault="00C721C1">
    <w:pPr>
      <w:pStyle w:val="Pieddepage"/>
      <w:rPr>
        <w:rStyle w:val="Numrodepage"/>
      </w:rPr>
    </w:pPr>
    <w:sdt>
      <w:sdtPr>
        <w:id w:val="-1580508699"/>
        <w:docPartObj>
          <w:docPartGallery w:val="Page Numbers (Bottom of Page)"/>
          <w:docPartUnique/>
        </w:docPartObj>
      </w:sdtPr>
      <w:sdtEndPr>
        <w:rPr>
          <w:rStyle w:val="Numrodepage"/>
          <w:b/>
          <w:sz w:val="18"/>
        </w:rPr>
      </w:sdtEndPr>
      <w:sdtContent>
        <w:r w:rsidRPr="00C721C1">
          <w:rPr>
            <w:rStyle w:val="Numrodepage"/>
          </w:rPr>
          <w:fldChar w:fldCharType="begin"/>
        </w:r>
        <w:r w:rsidRPr="00C721C1">
          <w:rPr>
            <w:rStyle w:val="Numrodepage"/>
          </w:rPr>
          <w:instrText>PAGE   \* MERGEFORMAT</w:instrText>
        </w:r>
        <w:r w:rsidRPr="00C721C1">
          <w:rPr>
            <w:rStyle w:val="Numrodepage"/>
          </w:rPr>
          <w:fldChar w:fldCharType="separate"/>
        </w:r>
        <w:r w:rsidR="00D66E8D" w:rsidRPr="00D66E8D">
          <w:rPr>
            <w:rStyle w:val="Numrodepage"/>
            <w:noProof/>
            <w:lang w:val="fr-FR"/>
          </w:rPr>
          <w:t>2</w:t>
        </w:r>
        <w:r w:rsidRPr="00C721C1">
          <w:rPr>
            <w:rStyle w:val="Numrodepag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351"/>
      <w:docPartObj>
        <w:docPartGallery w:val="Page Numbers (Bottom of Page)"/>
        <w:docPartUnique/>
      </w:docPartObj>
    </w:sdtPr>
    <w:sdtEndPr>
      <w:rPr>
        <w:rStyle w:val="Numrodepage"/>
        <w:b/>
        <w:sz w:val="18"/>
      </w:rPr>
    </w:sdtEndPr>
    <w:sdtContent>
      <w:p w:rsidR="00820877" w:rsidRPr="004042A2" w:rsidRDefault="004042A2" w:rsidP="004042A2">
        <w:pPr>
          <w:pStyle w:val="Pieddepage"/>
          <w:jc w:val="right"/>
          <w:rPr>
            <w:rStyle w:val="Numrodepage"/>
          </w:rPr>
        </w:pPr>
        <w:r w:rsidRPr="004042A2">
          <w:rPr>
            <w:rStyle w:val="Numrodepage"/>
          </w:rPr>
          <w:fldChar w:fldCharType="begin"/>
        </w:r>
        <w:r w:rsidRPr="004042A2">
          <w:rPr>
            <w:rStyle w:val="Numrodepage"/>
          </w:rPr>
          <w:instrText>PAGE   \* MERGEFORMAT</w:instrText>
        </w:r>
        <w:r w:rsidRPr="004042A2">
          <w:rPr>
            <w:rStyle w:val="Numrodepage"/>
          </w:rPr>
          <w:fldChar w:fldCharType="separate"/>
        </w:r>
        <w:r w:rsidR="00D66E8D" w:rsidRPr="00D66E8D">
          <w:rPr>
            <w:rStyle w:val="Numrodepage"/>
            <w:noProof/>
            <w:lang w:val="fr-FR"/>
          </w:rPr>
          <w:t>5</w:t>
        </w:r>
        <w:r w:rsidRPr="004042A2">
          <w:rPr>
            <w:rStyle w:val="Numrodepage"/>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E" w:rsidRPr="005146F7" w:rsidRDefault="005146F7" w:rsidP="005146F7">
    <w:pPr>
      <w:pStyle w:val="Pieddepage"/>
    </w:pPr>
    <w:r>
      <w:rPr>
        <w:noProof/>
        <w:lang w:val="en-US"/>
      </w:rPr>
      <w:drawing>
        <wp:anchor distT="0" distB="0" distL="114300" distR="114300" simplePos="0" relativeHeight="251659264" behindDoc="0" locked="0" layoutInCell="1" allowOverlap="0" wp14:anchorId="63DD2153" wp14:editId="35545F58">
          <wp:simplePos x="0" y="0"/>
          <wp:positionH relativeFrom="margin">
            <wp:posOffset>4243705</wp:posOffset>
          </wp:positionH>
          <wp:positionV relativeFrom="margin">
            <wp:posOffset>8336915</wp:posOffset>
          </wp:positionV>
          <wp:extent cx="1104900" cy="233680"/>
          <wp:effectExtent l="0" t="0" r="0" b="0"/>
          <wp:wrapNone/>
          <wp:docPr id="9" name="Image 9"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00DA85EB" wp14:editId="5A503EC5">
          <wp:simplePos x="0" y="0"/>
          <wp:positionH relativeFrom="column">
            <wp:posOffset>5473700</wp:posOffset>
          </wp:positionH>
          <wp:positionV relativeFrom="paragraph">
            <wp:posOffset>6350</wp:posOffset>
          </wp:positionV>
          <wp:extent cx="638175" cy="638175"/>
          <wp:effectExtent l="0" t="0" r="9525" b="9525"/>
          <wp:wrapNone/>
          <wp:docPr id="10" name="Image 2" descr="http://undocs.org/m2/QRCode.ashx?DS=A/HRC/22/2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2/2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w:t>
    </w:r>
    <w:r>
      <w:rPr>
        <w:sz w:val="20"/>
      </w:rPr>
      <w:t>3</w:t>
    </w:r>
    <w:r>
      <w:rPr>
        <w:sz w:val="20"/>
      </w:rPr>
      <w:t>-10</w:t>
    </w:r>
    <w:r>
      <w:rPr>
        <w:sz w:val="20"/>
      </w:rPr>
      <w:t>233</w:t>
    </w:r>
    <w:r>
      <w:rPr>
        <w:sz w:val="20"/>
      </w:rPr>
      <w:br/>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r w:rsidRPr="005146F7">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8D" w:rsidRPr="00C721C1" w:rsidRDefault="00D66E8D">
    <w:pPr>
      <w:pStyle w:val="Pieddepage"/>
      <w:rPr>
        <w:rStyle w:val="Numrodepage"/>
      </w:rPr>
    </w:pPr>
    <w:sdt>
      <w:sdtPr>
        <w:id w:val="2094267977"/>
        <w:docPartObj>
          <w:docPartGallery w:val="Page Numbers (Bottom of Page)"/>
          <w:docPartUnique/>
        </w:docPartObj>
      </w:sdtPr>
      <w:sdtEndPr>
        <w:rPr>
          <w:rStyle w:val="Numrodepage"/>
          <w:b/>
          <w:sz w:val="18"/>
        </w:rPr>
      </w:sdtEndPr>
      <w:sdtContent>
        <w:r w:rsidRPr="00C721C1">
          <w:rPr>
            <w:rStyle w:val="Numrodepage"/>
          </w:rPr>
          <w:fldChar w:fldCharType="begin"/>
        </w:r>
        <w:r w:rsidRPr="00C721C1">
          <w:rPr>
            <w:rStyle w:val="Numrodepage"/>
          </w:rPr>
          <w:instrText>PAGE   \* MERGEFORMAT</w:instrText>
        </w:r>
        <w:r w:rsidRPr="00C721C1">
          <w:rPr>
            <w:rStyle w:val="Numrodepage"/>
          </w:rPr>
          <w:fldChar w:fldCharType="separate"/>
        </w:r>
        <w:r w:rsidRPr="00D66E8D">
          <w:rPr>
            <w:rStyle w:val="Numrodepage"/>
            <w:noProof/>
            <w:lang w:val="fr-FR"/>
          </w:rPr>
          <w:t>4</w:t>
        </w:r>
        <w:r w:rsidRPr="00C721C1">
          <w:rPr>
            <w:rStyle w:val="Numrodepage"/>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07128"/>
      <w:docPartObj>
        <w:docPartGallery w:val="Page Numbers (Bottom of Page)"/>
        <w:docPartUnique/>
      </w:docPartObj>
    </w:sdtPr>
    <w:sdtEndPr>
      <w:rPr>
        <w:rStyle w:val="Numrodepage"/>
        <w:b/>
        <w:sz w:val="18"/>
      </w:rPr>
    </w:sdtEndPr>
    <w:sdtContent>
      <w:p w:rsidR="00820877" w:rsidRPr="00820877" w:rsidRDefault="00820877" w:rsidP="00820877">
        <w:pPr>
          <w:pStyle w:val="Pieddepage"/>
          <w:jc w:val="right"/>
          <w:rPr>
            <w:rStyle w:val="Numrodepage"/>
          </w:rPr>
        </w:pPr>
        <w:r w:rsidRPr="00820877">
          <w:rPr>
            <w:rStyle w:val="Numrodepage"/>
          </w:rPr>
          <w:fldChar w:fldCharType="begin"/>
        </w:r>
        <w:r w:rsidRPr="00820877">
          <w:rPr>
            <w:rStyle w:val="Numrodepage"/>
          </w:rPr>
          <w:instrText>PAGE   \* MERGEFORMAT</w:instrText>
        </w:r>
        <w:r w:rsidRPr="00820877">
          <w:rPr>
            <w:rStyle w:val="Numrodepage"/>
          </w:rPr>
          <w:fldChar w:fldCharType="separate"/>
        </w:r>
        <w:r w:rsidR="00D66E8D" w:rsidRPr="00D66E8D">
          <w:rPr>
            <w:rStyle w:val="Numrodepage"/>
            <w:noProof/>
            <w:lang w:val="fr-FR"/>
          </w:rPr>
          <w:t>3</w:t>
        </w:r>
        <w:r w:rsidRPr="00820877">
          <w:rPr>
            <w:rStyle w:val="Numrodepag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D0" w:rsidRPr="00D27D5E" w:rsidRDefault="00B26DD0" w:rsidP="00D27D5E">
      <w:pPr>
        <w:tabs>
          <w:tab w:val="right" w:pos="2155"/>
        </w:tabs>
        <w:spacing w:after="80"/>
        <w:ind w:left="680"/>
        <w:rPr>
          <w:u w:val="single"/>
        </w:rPr>
      </w:pPr>
      <w:r>
        <w:rPr>
          <w:u w:val="single"/>
        </w:rPr>
        <w:tab/>
      </w:r>
    </w:p>
  </w:footnote>
  <w:footnote w:type="continuationSeparator" w:id="0">
    <w:p w:rsidR="00B26DD0" w:rsidRPr="001D7014" w:rsidRDefault="00B26DD0" w:rsidP="001D7014">
      <w:pPr>
        <w:tabs>
          <w:tab w:val="right" w:pos="2155"/>
        </w:tabs>
        <w:spacing w:after="80"/>
        <w:ind w:left="680"/>
        <w:rPr>
          <w:u w:val="single"/>
        </w:rPr>
      </w:pPr>
      <w:r w:rsidRPr="001D7014">
        <w:rPr>
          <w:u w:val="single"/>
        </w:rPr>
        <w:tab/>
      </w:r>
    </w:p>
  </w:footnote>
  <w:footnote w:type="continuationNotice" w:id="1">
    <w:p w:rsidR="00B26DD0" w:rsidRPr="00770C75" w:rsidRDefault="00B26DD0" w:rsidP="00770C75">
      <w:pPr>
        <w:spacing w:line="240" w:lineRule="auto"/>
        <w:rPr>
          <w:sz w:val="2"/>
          <w:szCs w:val="2"/>
        </w:rPr>
      </w:pPr>
    </w:p>
  </w:footnote>
  <w:footnote w:id="2">
    <w:p w:rsidR="007520AE" w:rsidRPr="007520AE" w:rsidRDefault="007520AE" w:rsidP="007520AE">
      <w:pPr>
        <w:pStyle w:val="Notedebasdepage"/>
        <w:ind w:hanging="425"/>
        <w:rPr>
          <w:lang w:val="fr-FR"/>
        </w:rPr>
      </w:pPr>
      <w:r>
        <w:rPr>
          <w:rStyle w:val="Appelnotedebasdep"/>
        </w:rPr>
        <w:footnoteRef/>
      </w:r>
      <w:r>
        <w:t xml:space="preserve"> </w:t>
      </w:r>
      <w:r>
        <w:rPr>
          <w:lang w:val="fr-FR"/>
        </w:rPr>
        <w:t xml:space="preserve"> </w:t>
      </w:r>
      <w:r>
        <w:t>Présentation tardive.</w:t>
      </w:r>
    </w:p>
  </w:footnote>
  <w:footnote w:id="3">
    <w:p w:rsidR="007520AE" w:rsidRDefault="007520AE" w:rsidP="00BA073E">
      <w:pPr>
        <w:pStyle w:val="Notedebasdepage"/>
        <w:tabs>
          <w:tab w:val="clear" w:pos="1021"/>
          <w:tab w:val="right" w:pos="784"/>
        </w:tabs>
        <w:ind w:left="784" w:hanging="140"/>
      </w:pPr>
      <w:r>
        <w:rPr>
          <w:rStyle w:val="Appelnotedebasdep"/>
        </w:rPr>
        <w:footnoteRef/>
      </w:r>
      <w:r>
        <w:t xml:space="preserve"> Les pays suivants ont fourni des informations : </w:t>
      </w:r>
      <w:r w:rsidRPr="00216E77">
        <w:t>Arménie, Australie, Azerbaïdjan, Bahreïn, Costa Rica, Espagne, Estonie, Fédération de Russie, Guatemala, Madagascar, Maroc, Moldova, Mongolie, Monténégro, Oman, Paraguay, Qatar, République démocratique du Congo, Roumanie, Serbie, Slovénie et Suisse</w:t>
      </w:r>
      <w:r>
        <w:t>.</w:t>
      </w:r>
    </w:p>
    <w:p w:rsidR="00BA073E" w:rsidRDefault="00BA073E" w:rsidP="00BA073E">
      <w:pPr>
        <w:pStyle w:val="Notedebasdepage"/>
        <w:tabs>
          <w:tab w:val="clear" w:pos="1021"/>
        </w:tabs>
        <w:ind w:left="784" w:firstLine="0"/>
        <w:rPr>
          <w:lang w:val="fr-CA"/>
        </w:rPr>
      </w:pPr>
      <w:r>
        <w:rPr>
          <w:lang w:val="fr-CA"/>
        </w:rPr>
        <w:t>Les organisations régionales et institutions nationales de défense des droits de l’homme qui ont fourni des informations sont le Secrétariat du Commonwealth, l’Organisation pour la sécurité et la coopération en Europe, le Bureau de l’Ombudsman de la République de Bulgarie, la Commission des droits de l’homme du Malawi, la Commission nationale indienne des droits de l’homme, la Commission néozélandaise des droits de l’homme, l’Office panaméen de la protection du citoyen, la Commission nationale des droits de l’homme du Qatar, la Commission sud-africaine des droits de l’homme et le Bureau de l’Ombudsman de la République bolivarienne du Venezuela.</w:t>
      </w:r>
    </w:p>
    <w:p w:rsidR="00BA073E" w:rsidRPr="007520AE" w:rsidRDefault="00BA073E" w:rsidP="00BA073E">
      <w:pPr>
        <w:pStyle w:val="Notedebasdepage"/>
        <w:tabs>
          <w:tab w:val="clear" w:pos="1021"/>
        </w:tabs>
        <w:ind w:left="784" w:firstLine="0"/>
        <w:rPr>
          <w:lang w:val="fr-FR"/>
        </w:rPr>
      </w:pPr>
      <w:r>
        <w:rPr>
          <w:lang w:val="fr-CA"/>
        </w:rPr>
        <w:t>Un certain nombre d’organisations non-gouvernementales ont également communiqué des informations dont il a été tenu compte dans la mesure où elles concernent les mesures efficaces et les meilleures pratiques. Certaines de ces informations contiennent des allégations de violations des droits de l’homme par l’État, telles que le recours excessif à la force ou le harcèlement des manifestants, qui</w:t>
      </w:r>
      <w:r>
        <w:t xml:space="preserve"> ne sont </w:t>
      </w:r>
      <w:r>
        <w:rPr>
          <w:lang w:val="fr-CA"/>
        </w:rPr>
        <w:t xml:space="preserve">toutefois </w:t>
      </w:r>
      <w:r>
        <w:t xml:space="preserve">pas reprises dans le présent rapport mais </w:t>
      </w:r>
      <w:r>
        <w:rPr>
          <w:lang w:val="fr-CA"/>
        </w:rPr>
        <w:t xml:space="preserve">ont été transmises au Rapporteur spécial </w:t>
      </w:r>
      <w:r w:rsidRPr="00861DE2">
        <w:t xml:space="preserve">sur le droit de réunion </w:t>
      </w:r>
      <w:r>
        <w:t xml:space="preserve">pacifique </w:t>
      </w:r>
      <w:r w:rsidRPr="00861DE2">
        <w:t xml:space="preserve">et </w:t>
      </w:r>
      <w:r>
        <w:t xml:space="preserve">la liberté </w:t>
      </w:r>
      <w:r w:rsidRPr="00861DE2">
        <w:t>d</w:t>
      </w:r>
      <w:r>
        <w:t>’association pour suite à donner.</w:t>
      </w:r>
    </w:p>
  </w:footnote>
  <w:footnote w:id="4">
    <w:p w:rsidR="007520AE" w:rsidRPr="004973B7" w:rsidRDefault="007520AE" w:rsidP="00A950D5">
      <w:pPr>
        <w:pStyle w:val="Notedebasdepage"/>
        <w:tabs>
          <w:tab w:val="clear" w:pos="1021"/>
        </w:tabs>
        <w:ind w:left="1758"/>
        <w:rPr>
          <w:lang w:val="fr-CA"/>
        </w:rPr>
      </w:pPr>
      <w:r>
        <w:rPr>
          <w:rStyle w:val="Appelnotedebasdep"/>
        </w:rPr>
        <w:footnoteRef/>
      </w:r>
      <w:r>
        <w:t xml:space="preserve"> Résolution 19/35 du Conseil des droits de l’homme en date du 23 mars 2012.</w:t>
      </w:r>
    </w:p>
  </w:footnote>
  <w:footnote w:id="5">
    <w:p w:rsidR="007520AE" w:rsidRPr="005B72AB" w:rsidRDefault="007520AE" w:rsidP="00A950D5">
      <w:pPr>
        <w:pStyle w:val="Notedebasdepage"/>
        <w:tabs>
          <w:tab w:val="clear" w:pos="1021"/>
        </w:tabs>
        <w:ind w:left="738" w:hanging="114"/>
        <w:rPr>
          <w:lang w:val="fr-CA"/>
        </w:rPr>
      </w:pPr>
      <w:r>
        <w:rPr>
          <w:rStyle w:val="Appelnotedebasdep"/>
        </w:rPr>
        <w:footnoteRef/>
      </w:r>
      <w:r>
        <w:t xml:space="preserve"> Voir, par exemple, la communication n</w:t>
      </w:r>
      <w:r>
        <w:rPr>
          <w:vertAlign w:val="superscript"/>
        </w:rPr>
        <w:t>o</w:t>
      </w:r>
      <w:r>
        <w:t xml:space="preserve"> 1316/2004, </w:t>
      </w:r>
      <w:proofErr w:type="spellStart"/>
      <w:r>
        <w:rPr>
          <w:i/>
        </w:rPr>
        <w:t>Mecheslav</w:t>
      </w:r>
      <w:proofErr w:type="spellEnd"/>
      <w:r>
        <w:rPr>
          <w:i/>
        </w:rPr>
        <w:t xml:space="preserve"> </w:t>
      </w:r>
      <w:proofErr w:type="spellStart"/>
      <w:r w:rsidRPr="00286F64">
        <w:rPr>
          <w:i/>
        </w:rPr>
        <w:t>Gryb</w:t>
      </w:r>
      <w:proofErr w:type="spellEnd"/>
      <w:r w:rsidRPr="00286F64">
        <w:rPr>
          <w:i/>
        </w:rPr>
        <w:t xml:space="preserve"> c. Bélarus</w:t>
      </w:r>
      <w:r>
        <w:t>, constatations adoptée</w:t>
      </w:r>
      <w:r w:rsidR="004711C3">
        <w:t>s le 26 octobre 2011, par.</w:t>
      </w:r>
      <w:r>
        <w:t> 9.5.</w:t>
      </w:r>
    </w:p>
  </w:footnote>
  <w:footnote w:id="6">
    <w:p w:rsidR="007520AE" w:rsidRPr="003B6626" w:rsidRDefault="007520AE" w:rsidP="00A950D5">
      <w:pPr>
        <w:pStyle w:val="Notedebasdepage"/>
        <w:tabs>
          <w:tab w:val="clear" w:pos="1021"/>
        </w:tabs>
        <w:ind w:left="738" w:hanging="114"/>
        <w:rPr>
          <w:lang w:val="fr-CA"/>
        </w:rPr>
      </w:pPr>
      <w:r>
        <w:rPr>
          <w:rStyle w:val="Appelnotedebasdep"/>
        </w:rPr>
        <w:footnoteRef/>
      </w:r>
      <w:r>
        <w:t xml:space="preserve"> Voir la communication n</w:t>
      </w:r>
      <w:r>
        <w:rPr>
          <w:vertAlign w:val="superscript"/>
        </w:rPr>
        <w:t>o</w:t>
      </w:r>
      <w:r>
        <w:t> </w:t>
      </w:r>
      <w:r w:rsidRPr="003B6626">
        <w:t xml:space="preserve">1866/2009, </w:t>
      </w:r>
      <w:proofErr w:type="spellStart"/>
      <w:r w:rsidRPr="003B6626">
        <w:rPr>
          <w:i/>
        </w:rPr>
        <w:t>Chebotareva</w:t>
      </w:r>
      <w:proofErr w:type="spellEnd"/>
      <w:r w:rsidRPr="003B6626">
        <w:rPr>
          <w:i/>
        </w:rPr>
        <w:t xml:space="preserve"> </w:t>
      </w:r>
      <w:r>
        <w:rPr>
          <w:i/>
        </w:rPr>
        <w:t>c</w:t>
      </w:r>
      <w:r w:rsidRPr="003B6626">
        <w:rPr>
          <w:i/>
        </w:rPr>
        <w:t xml:space="preserve">. </w:t>
      </w:r>
      <w:r w:rsidRPr="003B6626">
        <w:rPr>
          <w:i/>
          <w:lang w:val="fr-FR"/>
        </w:rPr>
        <w:t>Fédération de Russie</w:t>
      </w:r>
      <w:r>
        <w:t>, constatations adop</w:t>
      </w:r>
      <w:r w:rsidR="00FE33B8">
        <w:t>tées le 26 mars 2012, par.</w:t>
      </w:r>
      <w:r>
        <w:t> 9.2.</w:t>
      </w:r>
    </w:p>
  </w:footnote>
  <w:footnote w:id="7">
    <w:p w:rsidR="007520AE" w:rsidRPr="00CF1ADD" w:rsidRDefault="007520AE" w:rsidP="00A950D5">
      <w:pPr>
        <w:pStyle w:val="Notedebasdepage"/>
        <w:tabs>
          <w:tab w:val="clear" w:pos="1021"/>
        </w:tabs>
        <w:ind w:left="738" w:hanging="114"/>
        <w:rPr>
          <w:lang w:val="fr-CA"/>
        </w:rPr>
      </w:pPr>
      <w:r>
        <w:rPr>
          <w:rStyle w:val="Appelnotedebasdep"/>
        </w:rPr>
        <w:footnoteRef/>
      </w:r>
      <w:r>
        <w:t xml:space="preserve"> Communication n</w:t>
      </w:r>
      <w:r>
        <w:rPr>
          <w:vertAlign w:val="superscript"/>
        </w:rPr>
        <w:t>o</w:t>
      </w:r>
      <w:r>
        <w:t> 412/1990</w:t>
      </w:r>
      <w:r w:rsidRPr="003B6626">
        <w:t xml:space="preserve">, </w:t>
      </w:r>
      <w:proofErr w:type="spellStart"/>
      <w:r>
        <w:rPr>
          <w:i/>
        </w:rPr>
        <w:t>Kivenmaa</w:t>
      </w:r>
      <w:proofErr w:type="spellEnd"/>
      <w:r>
        <w:rPr>
          <w:i/>
        </w:rPr>
        <w:t xml:space="preserve"> </w:t>
      </w:r>
      <w:r>
        <w:t>c.</w:t>
      </w:r>
      <w:r>
        <w:rPr>
          <w:i/>
        </w:rPr>
        <w:t xml:space="preserve"> Finlande</w:t>
      </w:r>
      <w:r>
        <w:t>, constatations adop</w:t>
      </w:r>
      <w:r w:rsidR="00CE5AB1">
        <w:t>tées le 31 mars 1994, par.</w:t>
      </w:r>
      <w:r>
        <w:t> 9.2.</w:t>
      </w:r>
    </w:p>
  </w:footnote>
  <w:footnote w:id="8">
    <w:p w:rsidR="007520AE" w:rsidRPr="007F024D" w:rsidRDefault="007520AE" w:rsidP="00A950D5">
      <w:pPr>
        <w:pStyle w:val="Notedebasdepage"/>
        <w:ind w:left="738" w:hanging="114"/>
      </w:pPr>
      <w:r>
        <w:rPr>
          <w:rStyle w:val="Appelnotedebasdep"/>
        </w:rPr>
        <w:footnoteRef/>
      </w:r>
      <w:r>
        <w:t xml:space="preserve"> Communication n</w:t>
      </w:r>
      <w:r>
        <w:rPr>
          <w:vertAlign w:val="superscript"/>
        </w:rPr>
        <w:t>o</w:t>
      </w:r>
      <w:r>
        <w:t> 1790/2008</w:t>
      </w:r>
      <w:r w:rsidRPr="003B6626">
        <w:t xml:space="preserve">, </w:t>
      </w:r>
      <w:proofErr w:type="spellStart"/>
      <w:r w:rsidRPr="007F024D">
        <w:rPr>
          <w:i/>
        </w:rPr>
        <w:t>Govsha</w:t>
      </w:r>
      <w:proofErr w:type="spellEnd"/>
      <w:r w:rsidRPr="007F024D">
        <w:rPr>
          <w:i/>
        </w:rPr>
        <w:t xml:space="preserve">, </w:t>
      </w:r>
      <w:proofErr w:type="spellStart"/>
      <w:r w:rsidRPr="007F024D">
        <w:rPr>
          <w:i/>
        </w:rPr>
        <w:t>Syritsa</w:t>
      </w:r>
      <w:proofErr w:type="spellEnd"/>
      <w:r w:rsidRPr="007F024D">
        <w:rPr>
          <w:i/>
        </w:rPr>
        <w:t xml:space="preserve"> </w:t>
      </w:r>
      <w:r>
        <w:rPr>
          <w:i/>
        </w:rPr>
        <w:t>et</w:t>
      </w:r>
      <w:r w:rsidRPr="007F024D">
        <w:rPr>
          <w:i/>
        </w:rPr>
        <w:t xml:space="preserve"> </w:t>
      </w:r>
      <w:proofErr w:type="spellStart"/>
      <w:r w:rsidRPr="007F024D">
        <w:rPr>
          <w:i/>
        </w:rPr>
        <w:t>Mezyak</w:t>
      </w:r>
      <w:proofErr w:type="spellEnd"/>
      <w:r w:rsidRPr="007F024D">
        <w:rPr>
          <w:i/>
        </w:rPr>
        <w:t xml:space="preserve"> </w:t>
      </w:r>
      <w:r>
        <w:rPr>
          <w:i/>
        </w:rPr>
        <w:t>c</w:t>
      </w:r>
      <w:r w:rsidRPr="007F024D">
        <w:rPr>
          <w:i/>
        </w:rPr>
        <w:t xml:space="preserve">. </w:t>
      </w:r>
      <w:r>
        <w:rPr>
          <w:i/>
        </w:rPr>
        <w:t>Bélarus</w:t>
      </w:r>
      <w:r>
        <w:t>, constatations adoptées le 27 juil</w:t>
      </w:r>
      <w:r w:rsidR="00CE5AB1">
        <w:t>let 2012, par.</w:t>
      </w:r>
      <w:r>
        <w:t> 9.4.</w:t>
      </w:r>
    </w:p>
  </w:footnote>
  <w:footnote w:id="9">
    <w:p w:rsidR="007520AE" w:rsidRPr="007F024D" w:rsidRDefault="007520AE" w:rsidP="00A950D5">
      <w:pPr>
        <w:pStyle w:val="Notedebasdepage"/>
        <w:ind w:left="738" w:hanging="114"/>
        <w:rPr>
          <w:lang w:val="fr-CA"/>
        </w:rPr>
      </w:pPr>
      <w:r>
        <w:rPr>
          <w:rStyle w:val="Appelnotedebasdep"/>
        </w:rPr>
        <w:footnoteRef/>
      </w:r>
      <w:r>
        <w:t xml:space="preserve"> Communication n</w:t>
      </w:r>
      <w:r>
        <w:rPr>
          <w:vertAlign w:val="superscript"/>
        </w:rPr>
        <w:t>o</w:t>
      </w:r>
      <w:r>
        <w:t> 1157/2003</w:t>
      </w:r>
      <w:r w:rsidRPr="003B6626">
        <w:t xml:space="preserve">, </w:t>
      </w:r>
      <w:r w:rsidRPr="007F024D">
        <w:rPr>
          <w:i/>
        </w:rPr>
        <w:t xml:space="preserve">Coleman </w:t>
      </w:r>
      <w:r>
        <w:rPr>
          <w:i/>
        </w:rPr>
        <w:t>c</w:t>
      </w:r>
      <w:r w:rsidRPr="007F024D">
        <w:rPr>
          <w:i/>
        </w:rPr>
        <w:t xml:space="preserve">. </w:t>
      </w:r>
      <w:r w:rsidRPr="007F024D">
        <w:rPr>
          <w:i/>
          <w:szCs w:val="18"/>
        </w:rPr>
        <w:t>Australie</w:t>
      </w:r>
      <w:r>
        <w:t>, constatations adoptée</w:t>
      </w:r>
      <w:r w:rsidR="000A7D9F">
        <w:t>s le 17 juillet 2006, par.</w:t>
      </w:r>
      <w:r>
        <w:t> 7.3.</w:t>
      </w:r>
    </w:p>
  </w:footnote>
  <w:footnote w:id="10">
    <w:p w:rsidR="007520AE" w:rsidRPr="005E3A85" w:rsidRDefault="007520AE" w:rsidP="005E3A85">
      <w:pPr>
        <w:pStyle w:val="Notedebasdepage"/>
        <w:tabs>
          <w:tab w:val="clear" w:pos="1021"/>
        </w:tabs>
        <w:ind w:left="1758"/>
      </w:pPr>
      <w:r>
        <w:rPr>
          <w:rStyle w:val="Appelnotedebasdep"/>
        </w:rPr>
        <w:footnoteRef/>
      </w:r>
      <w:r>
        <w:t xml:space="preserve"> </w:t>
      </w:r>
      <w:r w:rsidR="00CE5AB1">
        <w:t>A/HRC/20/27, par.</w:t>
      </w:r>
      <w:r>
        <w:t> </w:t>
      </w:r>
      <w:r w:rsidRPr="005E3A85">
        <w:t xml:space="preserve">24 </w:t>
      </w:r>
      <w:r>
        <w:t>et</w:t>
      </w:r>
      <w:r w:rsidRPr="005E3A85">
        <w:t xml:space="preserve"> 89.</w:t>
      </w:r>
    </w:p>
  </w:footnote>
  <w:footnote w:id="11">
    <w:p w:rsidR="007520AE" w:rsidRPr="003B6ADC" w:rsidRDefault="007520AE" w:rsidP="00A950D5">
      <w:pPr>
        <w:pStyle w:val="Notedebasdepage"/>
        <w:tabs>
          <w:tab w:val="clear" w:pos="1021"/>
        </w:tabs>
        <w:ind w:left="738" w:hanging="114"/>
        <w:rPr>
          <w:lang w:val="fr-CA"/>
        </w:rPr>
      </w:pPr>
      <w:r>
        <w:rPr>
          <w:rStyle w:val="Appelnotedebasdep"/>
        </w:rPr>
        <w:footnoteRef/>
      </w:r>
      <w:r>
        <w:t xml:space="preserve"> </w:t>
      </w:r>
      <w:r w:rsidRPr="003B6ADC">
        <w:t>Adoptés par le huitième Congrès des Nations Unies pour la prévention du crime et le traitement des délinquants tenu à L</w:t>
      </w:r>
      <w:r w:rsidR="0031738A">
        <w:t>a Havane (Cuba) du 27 août au 7 </w:t>
      </w:r>
      <w:r w:rsidRPr="003B6ADC">
        <w:t>septembre 1990</w:t>
      </w:r>
      <w:r w:rsidR="0090221D">
        <w:t>.</w:t>
      </w:r>
      <w:r w:rsidRPr="003B6ADC">
        <w:t xml:space="preserve"> </w:t>
      </w:r>
    </w:p>
  </w:footnote>
  <w:footnote w:id="12">
    <w:p w:rsidR="007520AE" w:rsidRPr="003B6ADC" w:rsidRDefault="007520AE" w:rsidP="00243194">
      <w:pPr>
        <w:pStyle w:val="Notedebasdepage"/>
        <w:tabs>
          <w:tab w:val="clear" w:pos="1021"/>
        </w:tabs>
        <w:ind w:left="1758"/>
        <w:rPr>
          <w:lang w:val="fr-CA"/>
        </w:rPr>
      </w:pPr>
      <w:r>
        <w:rPr>
          <w:rStyle w:val="Appelnotedebasdep"/>
        </w:rPr>
        <w:footnoteRef/>
      </w:r>
      <w:r>
        <w:t xml:space="preserve"> </w:t>
      </w:r>
      <w:r w:rsidRPr="003B6ADC">
        <w:rPr>
          <w:lang w:val="fr-CA"/>
        </w:rPr>
        <w:t>Adopté par la résolution 34/169 de l</w:t>
      </w:r>
      <w:r>
        <w:rPr>
          <w:lang w:val="fr-CA"/>
        </w:rPr>
        <w:t>’Assemblée générale, en date du 17 décembre 1979.</w:t>
      </w:r>
    </w:p>
  </w:footnote>
  <w:footnote w:id="13">
    <w:p w:rsidR="007520AE" w:rsidRPr="00B166BE" w:rsidRDefault="007520AE" w:rsidP="00243194">
      <w:pPr>
        <w:pStyle w:val="Notedebasdepage"/>
        <w:tabs>
          <w:tab w:val="clear" w:pos="1021"/>
        </w:tabs>
        <w:ind w:left="1758"/>
        <w:rPr>
          <w:lang w:val="fr-CA"/>
        </w:rPr>
      </w:pPr>
      <w:r>
        <w:rPr>
          <w:rStyle w:val="Appelnotedebasdep"/>
        </w:rPr>
        <w:footnoteRef/>
      </w:r>
      <w:r>
        <w:t xml:space="preserve"> Costa Rica, Cour constitutionnelle, arrêt n</w:t>
      </w:r>
      <w:r>
        <w:rPr>
          <w:vertAlign w:val="superscript"/>
        </w:rPr>
        <w:t>o</w:t>
      </w:r>
      <w:r>
        <w:t> 03020 (2000).</w:t>
      </w:r>
    </w:p>
  </w:footnote>
  <w:footnote w:id="14">
    <w:p w:rsidR="007520AE" w:rsidRPr="0036233F" w:rsidRDefault="007520AE" w:rsidP="00243194">
      <w:pPr>
        <w:pStyle w:val="Notedebasdepage"/>
        <w:tabs>
          <w:tab w:val="clear" w:pos="1021"/>
        </w:tabs>
        <w:ind w:left="1758"/>
        <w:rPr>
          <w:lang w:val="fr-CA"/>
        </w:rPr>
      </w:pPr>
      <w:r>
        <w:rPr>
          <w:rStyle w:val="Appelnotedebasdep"/>
        </w:rPr>
        <w:footnoteRef/>
      </w:r>
      <w:r>
        <w:t xml:space="preserve"> </w:t>
      </w:r>
      <w:r>
        <w:rPr>
          <w:lang w:val="fr-CA"/>
        </w:rPr>
        <w:t xml:space="preserve">Espagne, </w:t>
      </w:r>
      <w:r w:rsidRPr="0036233F">
        <w:rPr>
          <w:lang w:val="fr-CA"/>
        </w:rPr>
        <w:t>Cour constitutionnelle</w:t>
      </w:r>
      <w:r>
        <w:rPr>
          <w:lang w:val="fr-CA"/>
        </w:rPr>
        <w:t>, a</w:t>
      </w:r>
      <w:r w:rsidRPr="0036233F">
        <w:rPr>
          <w:lang w:val="fr-CA"/>
        </w:rPr>
        <w:t xml:space="preserve">rrêt 96/2010 </w:t>
      </w:r>
      <w:r>
        <w:rPr>
          <w:lang w:val="fr-CA"/>
        </w:rPr>
        <w:t>du</w:t>
      </w:r>
      <w:r w:rsidRPr="0036233F">
        <w:rPr>
          <w:lang w:val="fr-CA"/>
        </w:rPr>
        <w:t xml:space="preserve"> 15 </w:t>
      </w:r>
      <w:r>
        <w:rPr>
          <w:lang w:val="fr-CA"/>
        </w:rPr>
        <w:t>novembre</w:t>
      </w:r>
      <w:r w:rsidRPr="0036233F">
        <w:rPr>
          <w:lang w:val="fr-CA"/>
        </w:rPr>
        <w:t xml:space="preserve"> 2010, FJ 3</w:t>
      </w:r>
      <w:r>
        <w:rPr>
          <w:lang w:val="fr-CA"/>
        </w:rPr>
        <w:t>.</w:t>
      </w:r>
    </w:p>
  </w:footnote>
  <w:footnote w:id="15">
    <w:p w:rsidR="007520AE" w:rsidRPr="0023200D" w:rsidRDefault="007520AE" w:rsidP="00243194">
      <w:pPr>
        <w:pStyle w:val="Notedebasdepage"/>
        <w:tabs>
          <w:tab w:val="clear" w:pos="1021"/>
        </w:tabs>
        <w:ind w:left="1758"/>
        <w:rPr>
          <w:lang w:val="en-US"/>
        </w:rPr>
      </w:pPr>
      <w:r>
        <w:rPr>
          <w:rStyle w:val="Appelnotedebasdep"/>
        </w:rPr>
        <w:footnoteRef/>
      </w:r>
      <w:r>
        <w:t xml:space="preserve"> </w:t>
      </w:r>
      <w:proofErr w:type="spellStart"/>
      <w:r>
        <w:rPr>
          <w:lang w:val="en-US"/>
        </w:rPr>
        <w:t>Estonie</w:t>
      </w:r>
      <w:proofErr w:type="spellEnd"/>
      <w:r>
        <w:rPr>
          <w:lang w:val="en-US"/>
        </w:rPr>
        <w:t>, Constitution (1992), art. 47.</w:t>
      </w:r>
    </w:p>
  </w:footnote>
  <w:footnote w:id="16">
    <w:p w:rsidR="007520AE" w:rsidRPr="00445DEF" w:rsidRDefault="007520AE" w:rsidP="00445DEF">
      <w:pPr>
        <w:pStyle w:val="Notedebasdepage"/>
        <w:tabs>
          <w:tab w:val="clear" w:pos="1021"/>
        </w:tabs>
        <w:ind w:left="1758"/>
      </w:pPr>
      <w:r>
        <w:rPr>
          <w:rStyle w:val="Appelnotedebasdep"/>
        </w:rPr>
        <w:footnoteRef/>
      </w:r>
      <w:r>
        <w:t xml:space="preserve"> Guatemala, loi sur l’appui aux forces de sécurité civile, décret n</w:t>
      </w:r>
      <w:r>
        <w:rPr>
          <w:vertAlign w:val="superscript"/>
        </w:rPr>
        <w:t>o </w:t>
      </w:r>
      <w:r w:rsidRPr="00445DEF">
        <w:t>40-2000</w:t>
      </w:r>
      <w:r>
        <w:t xml:space="preserve"> du 16 juin 2000.</w:t>
      </w:r>
    </w:p>
  </w:footnote>
  <w:footnote w:id="17">
    <w:p w:rsidR="007520AE" w:rsidRPr="00243194" w:rsidRDefault="007520AE" w:rsidP="00243194">
      <w:pPr>
        <w:pStyle w:val="Notedebasdepage"/>
        <w:tabs>
          <w:tab w:val="clear" w:pos="1021"/>
        </w:tabs>
        <w:ind w:left="624" w:firstLine="0"/>
        <w:rPr>
          <w:lang w:val="fr-CA"/>
        </w:rPr>
      </w:pPr>
      <w:r>
        <w:rPr>
          <w:rStyle w:val="Appelnotedebasdep"/>
        </w:rPr>
        <w:footnoteRef/>
      </w:r>
      <w:r>
        <w:t xml:space="preserve"> Guatemala, </w:t>
      </w:r>
      <w:r>
        <w:rPr>
          <w:lang w:val="fr-CA"/>
        </w:rPr>
        <w:t>protocole sur les procédures interinstitutionnelles pour l’appui de l’armée aux forces de sécurité civile, décret gouvernemental 285-2012 du 6 novembre 2012.</w:t>
      </w:r>
    </w:p>
  </w:footnote>
  <w:footnote w:id="18">
    <w:p w:rsidR="007520AE" w:rsidRPr="002F2CEB" w:rsidRDefault="007520AE" w:rsidP="002F2CEB">
      <w:pPr>
        <w:pStyle w:val="Notedebasdepage"/>
        <w:ind w:left="1758"/>
        <w:rPr>
          <w:lang w:val="fr-CA"/>
        </w:rPr>
      </w:pPr>
      <w:r>
        <w:rPr>
          <w:rStyle w:val="Appelnotedebasdep"/>
        </w:rPr>
        <w:footnoteRef/>
      </w:r>
      <w:r>
        <w:t xml:space="preserve"> </w:t>
      </w:r>
      <w:r>
        <w:rPr>
          <w:lang w:val="fr-CA"/>
        </w:rPr>
        <w:t>Azerbaïdjan, loi sur la liberté de réun</w:t>
      </w:r>
      <w:r w:rsidR="0031738A">
        <w:rPr>
          <w:lang w:val="fr-CA"/>
        </w:rPr>
        <w:t>ion du 22 février 2008, art. </w:t>
      </w:r>
      <w:r>
        <w:rPr>
          <w:lang w:val="fr-CA"/>
        </w:rPr>
        <w:t>3 et 12.</w:t>
      </w:r>
    </w:p>
  </w:footnote>
  <w:footnote w:id="19">
    <w:p w:rsidR="007520AE" w:rsidRPr="00B80E67" w:rsidRDefault="007520AE" w:rsidP="00B80E67">
      <w:pPr>
        <w:pStyle w:val="Notedebasdepage"/>
        <w:ind w:left="1758"/>
        <w:rPr>
          <w:lang w:val="en-US"/>
        </w:rPr>
      </w:pPr>
      <w:r>
        <w:rPr>
          <w:rStyle w:val="Appelnotedebasdep"/>
        </w:rPr>
        <w:footnoteRef/>
      </w:r>
      <w:r>
        <w:t xml:space="preserve"> Espagne, Constitution (1978), art. 21</w:t>
      </w:r>
    </w:p>
  </w:footnote>
  <w:footnote w:id="20">
    <w:p w:rsidR="007520AE" w:rsidRPr="003B2641" w:rsidRDefault="007520AE" w:rsidP="003B2641">
      <w:pPr>
        <w:pStyle w:val="Notedebasdepage"/>
        <w:ind w:left="1758"/>
        <w:rPr>
          <w:lang w:val="fr-CA"/>
        </w:rPr>
      </w:pPr>
      <w:r>
        <w:rPr>
          <w:rStyle w:val="Appelnotedebasdep"/>
        </w:rPr>
        <w:footnoteRef/>
      </w:r>
      <w:r>
        <w:t xml:space="preserve"> Suisse, Constitution fédérale de la Confé</w:t>
      </w:r>
      <w:r w:rsidR="005535B2">
        <w:t>dération suisse (1999), art.</w:t>
      </w:r>
      <w:r>
        <w:t> 16 et 22.</w:t>
      </w:r>
    </w:p>
  </w:footnote>
  <w:footnote w:id="21">
    <w:p w:rsidR="007520AE" w:rsidRPr="003B2641" w:rsidRDefault="007520AE" w:rsidP="003B2641">
      <w:pPr>
        <w:pStyle w:val="Notedebasdepage"/>
        <w:tabs>
          <w:tab w:val="clear" w:pos="1021"/>
        </w:tabs>
        <w:ind w:left="624" w:firstLine="0"/>
        <w:rPr>
          <w:lang w:val="en-US"/>
        </w:rPr>
      </w:pPr>
      <w:r>
        <w:rPr>
          <w:rStyle w:val="Appelnotedebasdep"/>
        </w:rPr>
        <w:footnoteRef/>
      </w:r>
      <w:r w:rsidRPr="003B2641">
        <w:rPr>
          <w:lang w:val="en-US"/>
        </w:rPr>
        <w:t xml:space="preserve"> </w:t>
      </w:r>
      <w:proofErr w:type="spellStart"/>
      <w:r w:rsidRPr="003B2641">
        <w:rPr>
          <w:lang w:val="en-US"/>
        </w:rPr>
        <w:t>Secrétariat</w:t>
      </w:r>
      <w:proofErr w:type="spellEnd"/>
      <w:r w:rsidRPr="003B2641">
        <w:rPr>
          <w:lang w:val="en-US"/>
        </w:rPr>
        <w:t xml:space="preserve"> </w:t>
      </w:r>
      <w:r>
        <w:rPr>
          <w:lang w:val="en-US"/>
        </w:rPr>
        <w:t xml:space="preserve">du Commonwealth, </w:t>
      </w:r>
      <w:r w:rsidRPr="003B2641">
        <w:rPr>
          <w:i/>
          <w:lang w:val="en-US"/>
        </w:rPr>
        <w:t>Freedom of Expression, Association and Assembly</w:t>
      </w:r>
      <w:r w:rsidRPr="003B2641">
        <w:rPr>
          <w:lang w:val="en-US"/>
        </w:rPr>
        <w:t>, Best Practice Series (</w:t>
      </w:r>
      <w:proofErr w:type="spellStart"/>
      <w:r w:rsidRPr="003B2641">
        <w:rPr>
          <w:lang w:val="en-US"/>
        </w:rPr>
        <w:t>Lond</w:t>
      </w:r>
      <w:r>
        <w:rPr>
          <w:lang w:val="en-US"/>
        </w:rPr>
        <w:t>res</w:t>
      </w:r>
      <w:proofErr w:type="spellEnd"/>
      <w:r w:rsidRPr="003B2641">
        <w:rPr>
          <w:lang w:val="en-US"/>
        </w:rPr>
        <w:t>, 2003), pp. 21-22.</w:t>
      </w:r>
    </w:p>
  </w:footnote>
  <w:footnote w:id="22">
    <w:p w:rsidR="007520AE" w:rsidRPr="00460D9D" w:rsidRDefault="007520AE" w:rsidP="00460D9D">
      <w:pPr>
        <w:pStyle w:val="Notedebasdepage"/>
        <w:tabs>
          <w:tab w:val="clear" w:pos="1021"/>
        </w:tabs>
        <w:ind w:left="624" w:firstLine="0"/>
        <w:rPr>
          <w:lang w:val="fr-CA"/>
        </w:rPr>
      </w:pPr>
      <w:r>
        <w:rPr>
          <w:rStyle w:val="Appelnotedebasdep"/>
        </w:rPr>
        <w:footnoteRef/>
      </w:r>
      <w:r>
        <w:t xml:space="preserve"> </w:t>
      </w:r>
      <w:r>
        <w:rPr>
          <w:lang w:val="fr-CA"/>
        </w:rPr>
        <w:t>Cour européenne des droits de l’homme,</w:t>
      </w:r>
      <w:r w:rsidRPr="00460D9D">
        <w:rPr>
          <w:lang w:val="fr-CA"/>
        </w:rPr>
        <w:t xml:space="preserve"> </w:t>
      </w:r>
      <w:r>
        <w:rPr>
          <w:lang w:val="fr-CA"/>
        </w:rPr>
        <w:t xml:space="preserve">affaire </w:t>
      </w:r>
      <w:proofErr w:type="spellStart"/>
      <w:r w:rsidRPr="00460D9D">
        <w:rPr>
          <w:i/>
          <w:lang w:val="fr-CA"/>
        </w:rPr>
        <w:t>Bukta</w:t>
      </w:r>
      <w:proofErr w:type="spellEnd"/>
      <w:r w:rsidRPr="00460D9D">
        <w:rPr>
          <w:i/>
          <w:lang w:val="fr-CA"/>
        </w:rPr>
        <w:t xml:space="preserve"> et autres c. Hongrie</w:t>
      </w:r>
      <w:r>
        <w:rPr>
          <w:i/>
          <w:lang w:val="fr-CA"/>
        </w:rPr>
        <w:t>,</w:t>
      </w:r>
      <w:r>
        <w:rPr>
          <w:lang w:val="fr-CA"/>
        </w:rPr>
        <w:t xml:space="preserve"> requête n</w:t>
      </w:r>
      <w:r>
        <w:rPr>
          <w:vertAlign w:val="superscript"/>
          <w:lang w:val="fr-CA"/>
        </w:rPr>
        <w:t>o</w:t>
      </w:r>
      <w:r>
        <w:rPr>
          <w:lang w:val="fr-CA"/>
        </w:rPr>
        <w:t> 25691/04, arrê</w:t>
      </w:r>
      <w:r w:rsidR="005535B2">
        <w:rPr>
          <w:lang w:val="fr-CA"/>
        </w:rPr>
        <w:t>t du 17 juillet 2007, par.</w:t>
      </w:r>
      <w:r>
        <w:rPr>
          <w:lang w:val="fr-CA"/>
        </w:rPr>
        <w:t> 36.</w:t>
      </w:r>
    </w:p>
  </w:footnote>
  <w:footnote w:id="23">
    <w:p w:rsidR="007520AE" w:rsidRPr="00FA2656" w:rsidRDefault="007520AE" w:rsidP="00FA2656">
      <w:pPr>
        <w:pStyle w:val="Notedebasdepage"/>
        <w:tabs>
          <w:tab w:val="clear" w:pos="1021"/>
        </w:tabs>
        <w:ind w:left="624" w:firstLine="0"/>
        <w:rPr>
          <w:lang w:val="fr-CA"/>
        </w:rPr>
      </w:pPr>
      <w:r>
        <w:rPr>
          <w:rStyle w:val="Appelnotedebasdep"/>
        </w:rPr>
        <w:footnoteRef/>
      </w:r>
      <w:r>
        <w:t xml:space="preserve"> Ibid., </w:t>
      </w:r>
      <w:r>
        <w:rPr>
          <w:lang w:val="fr-CA"/>
        </w:rPr>
        <w:t xml:space="preserve">affaire </w:t>
      </w:r>
      <w:proofErr w:type="spellStart"/>
      <w:r>
        <w:rPr>
          <w:i/>
        </w:rPr>
        <w:t>Baczkowski</w:t>
      </w:r>
      <w:proofErr w:type="spellEnd"/>
      <w:r w:rsidRPr="00460D9D">
        <w:rPr>
          <w:i/>
          <w:lang w:val="fr-CA"/>
        </w:rPr>
        <w:t xml:space="preserve"> et autres c. </w:t>
      </w:r>
      <w:r>
        <w:rPr>
          <w:i/>
          <w:lang w:val="fr-CA"/>
        </w:rPr>
        <w:t>Pologne</w:t>
      </w:r>
      <w:r>
        <w:rPr>
          <w:lang w:val="fr-CA"/>
        </w:rPr>
        <w:t>, requête n</w:t>
      </w:r>
      <w:r>
        <w:rPr>
          <w:vertAlign w:val="superscript"/>
          <w:lang w:val="fr-CA"/>
        </w:rPr>
        <w:t>o</w:t>
      </w:r>
      <w:r>
        <w:rPr>
          <w:lang w:val="fr-CA"/>
        </w:rPr>
        <w:t> 1543/06, arrêt du 3 mai 2007. L’Office polonais de défense des droits de l’homme était dès le début partie à l’affaire, au motif que l’introduction de l’obligation d’obtenir une autorisation pour un rassemblement sur la voie publique est une violation de la liberté de réunion.</w:t>
      </w:r>
    </w:p>
  </w:footnote>
  <w:footnote w:id="24">
    <w:p w:rsidR="007520AE" w:rsidRPr="007C0461" w:rsidRDefault="007520AE" w:rsidP="007C0461">
      <w:pPr>
        <w:pStyle w:val="Notedebasdepage"/>
        <w:tabs>
          <w:tab w:val="clear" w:pos="1021"/>
        </w:tabs>
        <w:ind w:left="624" w:firstLine="0"/>
        <w:rPr>
          <w:lang w:val="fr-CA"/>
        </w:rPr>
      </w:pPr>
      <w:r w:rsidRPr="007C0461">
        <w:rPr>
          <w:rStyle w:val="Appelnotedebasdep"/>
          <w:lang w:val="fr-CA"/>
        </w:rPr>
        <w:footnoteRef/>
      </w:r>
      <w:r w:rsidRPr="007C0461">
        <w:rPr>
          <w:lang w:val="fr-CA"/>
        </w:rPr>
        <w:t xml:space="preserve"> </w:t>
      </w:r>
      <w:r>
        <w:rPr>
          <w:lang w:val="fr-CA"/>
        </w:rPr>
        <w:t xml:space="preserve">Cour européenne des droits de l’homme, affaire </w:t>
      </w:r>
      <w:r>
        <w:rPr>
          <w:i/>
          <w:lang w:val="fr-CA"/>
        </w:rPr>
        <w:t xml:space="preserve">Sergueï </w:t>
      </w:r>
      <w:proofErr w:type="spellStart"/>
      <w:r>
        <w:rPr>
          <w:i/>
          <w:lang w:val="fr-CA"/>
        </w:rPr>
        <w:t>Kouznetsov</w:t>
      </w:r>
      <w:proofErr w:type="spellEnd"/>
      <w:r>
        <w:rPr>
          <w:i/>
          <w:lang w:val="fr-CA"/>
        </w:rPr>
        <w:t xml:space="preserve"> c. Russie</w:t>
      </w:r>
      <w:r>
        <w:rPr>
          <w:lang w:val="fr-CA"/>
        </w:rPr>
        <w:t>, requête n</w:t>
      </w:r>
      <w:r>
        <w:rPr>
          <w:vertAlign w:val="superscript"/>
          <w:lang w:val="fr-CA"/>
        </w:rPr>
        <w:t>o</w:t>
      </w:r>
      <w:r>
        <w:rPr>
          <w:lang w:val="fr-CA"/>
        </w:rPr>
        <w:t> 10877/04, arrê</w:t>
      </w:r>
      <w:r w:rsidR="00A52B11">
        <w:rPr>
          <w:lang w:val="fr-CA"/>
        </w:rPr>
        <w:t>t du 23 octobre 2008, par.</w:t>
      </w:r>
      <w:r>
        <w:rPr>
          <w:lang w:val="fr-CA"/>
        </w:rPr>
        <w:t> 44.</w:t>
      </w:r>
    </w:p>
  </w:footnote>
  <w:footnote w:id="25">
    <w:p w:rsidR="007520AE" w:rsidRPr="00AE7A9C" w:rsidRDefault="007520AE" w:rsidP="00F8027A">
      <w:pPr>
        <w:pStyle w:val="Notedebasdepage"/>
        <w:tabs>
          <w:tab w:val="clear" w:pos="1021"/>
        </w:tabs>
        <w:ind w:left="624" w:firstLine="0"/>
        <w:rPr>
          <w:lang w:val="fr-CA"/>
        </w:rPr>
      </w:pPr>
      <w:r w:rsidRPr="00AE7A9C">
        <w:rPr>
          <w:rStyle w:val="Appelnotedebasdep"/>
          <w:lang w:val="fr-CA"/>
        </w:rPr>
        <w:footnoteRef/>
      </w:r>
      <w:r w:rsidRPr="00AE7A9C">
        <w:rPr>
          <w:lang w:val="fr-CA"/>
        </w:rPr>
        <w:t xml:space="preserve"> </w:t>
      </w:r>
      <w:r>
        <w:rPr>
          <w:lang w:val="fr-CA"/>
        </w:rPr>
        <w:t xml:space="preserve">Cour de justice de l’Union européenne, </w:t>
      </w:r>
      <w:r w:rsidRPr="00B45557">
        <w:rPr>
          <w:i/>
          <w:lang w:val="fr-CA"/>
        </w:rPr>
        <w:t xml:space="preserve">Eugen </w:t>
      </w:r>
      <w:proofErr w:type="spellStart"/>
      <w:r w:rsidRPr="00B45557">
        <w:rPr>
          <w:i/>
          <w:lang w:val="fr-CA"/>
        </w:rPr>
        <w:t>Schmidberger</w:t>
      </w:r>
      <w:proofErr w:type="spellEnd"/>
      <w:r w:rsidRPr="00B45557">
        <w:rPr>
          <w:i/>
          <w:lang w:val="fr-CA"/>
        </w:rPr>
        <w:t xml:space="preserve"> c. République d’Autriche</w:t>
      </w:r>
      <w:r>
        <w:rPr>
          <w:lang w:val="fr-CA"/>
        </w:rPr>
        <w:t xml:space="preserve">, affaire </w:t>
      </w:r>
      <w:r w:rsidRPr="00B45557">
        <w:rPr>
          <w:lang w:val="fr-CA"/>
        </w:rPr>
        <w:t xml:space="preserve">C-112/00, </w:t>
      </w:r>
      <w:r>
        <w:rPr>
          <w:lang w:val="fr-CA"/>
        </w:rPr>
        <w:t xml:space="preserve">arrêt du </w:t>
      </w:r>
      <w:r w:rsidRPr="00B45557">
        <w:rPr>
          <w:lang w:val="fr-CA"/>
        </w:rPr>
        <w:t>12</w:t>
      </w:r>
      <w:r>
        <w:rPr>
          <w:lang w:val="fr-CA"/>
        </w:rPr>
        <w:t> juin</w:t>
      </w:r>
      <w:r w:rsidRPr="00B45557">
        <w:rPr>
          <w:lang w:val="fr-CA"/>
        </w:rPr>
        <w:t xml:space="preserve"> 2003</w:t>
      </w:r>
      <w:r>
        <w:rPr>
          <w:lang w:val="fr-CA"/>
        </w:rPr>
        <w:t>.</w:t>
      </w:r>
    </w:p>
  </w:footnote>
  <w:footnote w:id="26">
    <w:p w:rsidR="007520AE" w:rsidRPr="00B45557" w:rsidRDefault="007520AE" w:rsidP="00F8027A">
      <w:pPr>
        <w:pStyle w:val="Notedebasdepage"/>
        <w:tabs>
          <w:tab w:val="clear" w:pos="1021"/>
        </w:tabs>
        <w:ind w:left="624" w:firstLine="0"/>
        <w:rPr>
          <w:lang w:val="fr-CA"/>
        </w:rPr>
      </w:pPr>
      <w:r>
        <w:rPr>
          <w:rStyle w:val="Appelnotedebasdep"/>
        </w:rPr>
        <w:footnoteRef/>
      </w:r>
      <w:r>
        <w:t xml:space="preserve"> </w:t>
      </w:r>
      <w:r w:rsidRPr="00B45557">
        <w:rPr>
          <w:lang w:val="fr-CA"/>
        </w:rPr>
        <w:t>O</w:t>
      </w:r>
      <w:r>
        <w:rPr>
          <w:lang w:val="fr-CA"/>
        </w:rPr>
        <w:t xml:space="preserve">rganisation des États américains, Commission interaméricaine des droits de l'homme, </w:t>
      </w:r>
      <w:r w:rsidRPr="00130DEA">
        <w:rPr>
          <w:i/>
          <w:lang w:val="fr-CA"/>
        </w:rPr>
        <w:t xml:space="preserve">Report on Citizen Security and </w:t>
      </w:r>
      <w:proofErr w:type="spellStart"/>
      <w:r w:rsidRPr="00130DEA">
        <w:rPr>
          <w:i/>
          <w:lang w:val="fr-CA"/>
        </w:rPr>
        <w:t>Human</w:t>
      </w:r>
      <w:proofErr w:type="spellEnd"/>
      <w:r w:rsidRPr="00130DEA">
        <w:rPr>
          <w:i/>
          <w:lang w:val="fr-CA"/>
        </w:rPr>
        <w:t xml:space="preserve"> </w:t>
      </w:r>
      <w:proofErr w:type="spellStart"/>
      <w:r w:rsidRPr="00130DEA">
        <w:rPr>
          <w:i/>
          <w:lang w:val="fr-CA"/>
        </w:rPr>
        <w:t>Rights</w:t>
      </w:r>
      <w:proofErr w:type="spellEnd"/>
      <w:r>
        <w:rPr>
          <w:lang w:val="fr-CA"/>
        </w:rPr>
        <w:t xml:space="preserve">, </w:t>
      </w:r>
      <w:r>
        <w:t>31 décembre 2</w:t>
      </w:r>
      <w:r w:rsidR="00A52B11">
        <w:t>009 (OEA/</w:t>
      </w:r>
      <w:proofErr w:type="spellStart"/>
      <w:r w:rsidR="00A52B11">
        <w:t>Ser.L</w:t>
      </w:r>
      <w:proofErr w:type="spellEnd"/>
      <w:r w:rsidR="00A52B11">
        <w:t>/V/II), par.</w:t>
      </w:r>
      <w:r>
        <w:t> 193.</w:t>
      </w:r>
    </w:p>
  </w:footnote>
  <w:footnote w:id="27">
    <w:p w:rsidR="007520AE" w:rsidRPr="005C5F0D" w:rsidRDefault="007520AE" w:rsidP="005C5F0D">
      <w:pPr>
        <w:pStyle w:val="Notedebasdepage"/>
        <w:tabs>
          <w:tab w:val="clear" w:pos="1021"/>
        </w:tabs>
        <w:ind w:left="624" w:firstLine="0"/>
        <w:rPr>
          <w:lang w:val="fr-CA"/>
        </w:rPr>
      </w:pPr>
      <w:r w:rsidRPr="005C5F0D">
        <w:rPr>
          <w:rStyle w:val="Appelnotedebasdep"/>
          <w:lang w:val="fr-CA"/>
        </w:rPr>
        <w:footnoteRef/>
      </w:r>
      <w:r w:rsidRPr="005C5F0D">
        <w:rPr>
          <w:lang w:val="fr-CA"/>
        </w:rPr>
        <w:t xml:space="preserve"> </w:t>
      </w:r>
      <w:r>
        <w:rPr>
          <w:lang w:val="fr-CA"/>
        </w:rPr>
        <w:t xml:space="preserve">Cour européenne des droits de l’homme (Grande Chambre), </w:t>
      </w:r>
      <w:r w:rsidRPr="005C5F0D">
        <w:rPr>
          <w:i/>
          <w:lang w:val="fr-CA"/>
        </w:rPr>
        <w:t xml:space="preserve">Austin et autres c. </w:t>
      </w:r>
      <w:r>
        <w:rPr>
          <w:i/>
          <w:lang w:val="fr-CA"/>
        </w:rPr>
        <w:t>Royaume-Uni</w:t>
      </w:r>
      <w:r>
        <w:rPr>
          <w:lang w:val="fr-CA"/>
        </w:rPr>
        <w:t xml:space="preserve">, </w:t>
      </w:r>
      <w:r w:rsidRPr="005C5F0D">
        <w:rPr>
          <w:lang w:val="fr-CA"/>
        </w:rPr>
        <w:t>requêtes</w:t>
      </w:r>
      <w:r>
        <w:rPr>
          <w:lang w:val="fr-CA"/>
        </w:rPr>
        <w:t xml:space="preserve"> </w:t>
      </w:r>
      <w:r w:rsidRPr="005C5F0D">
        <w:rPr>
          <w:lang w:val="fr-CA"/>
        </w:rPr>
        <w:t>n</w:t>
      </w:r>
      <w:r w:rsidRPr="005C5F0D">
        <w:rPr>
          <w:vertAlign w:val="superscript"/>
          <w:lang w:val="fr-CA"/>
        </w:rPr>
        <w:t>os</w:t>
      </w:r>
      <w:r>
        <w:rPr>
          <w:lang w:val="fr-CA"/>
        </w:rPr>
        <w:t> </w:t>
      </w:r>
      <w:r w:rsidRPr="005C5F0D">
        <w:rPr>
          <w:lang w:val="fr-CA"/>
        </w:rPr>
        <w:t>39692/09,</w:t>
      </w:r>
      <w:r>
        <w:rPr>
          <w:lang w:val="fr-CA"/>
        </w:rPr>
        <w:t xml:space="preserve"> </w:t>
      </w:r>
      <w:r w:rsidRPr="005C5F0D">
        <w:rPr>
          <w:lang w:val="fr-CA"/>
        </w:rPr>
        <w:t>40713/09</w:t>
      </w:r>
      <w:r>
        <w:rPr>
          <w:lang w:val="fr-CA"/>
        </w:rPr>
        <w:t xml:space="preserve"> </w:t>
      </w:r>
      <w:r w:rsidRPr="005C5F0D">
        <w:rPr>
          <w:lang w:val="fr-CA"/>
        </w:rPr>
        <w:t>et</w:t>
      </w:r>
      <w:r>
        <w:rPr>
          <w:lang w:val="fr-CA"/>
        </w:rPr>
        <w:t xml:space="preserve"> </w:t>
      </w:r>
      <w:r w:rsidRPr="005C5F0D">
        <w:rPr>
          <w:lang w:val="fr-CA"/>
        </w:rPr>
        <w:t>41008/09</w:t>
      </w:r>
      <w:r>
        <w:rPr>
          <w:lang w:val="fr-CA"/>
        </w:rPr>
        <w:t>, arrêt du 15 mars 2012, par</w:t>
      </w:r>
      <w:r w:rsidR="00A52B11">
        <w:rPr>
          <w:lang w:val="fr-CA"/>
        </w:rPr>
        <w:t>.</w:t>
      </w:r>
      <w:r>
        <w:rPr>
          <w:lang w:val="fr-CA"/>
        </w:rPr>
        <w:t> 59 et 66.</w:t>
      </w:r>
    </w:p>
  </w:footnote>
  <w:footnote w:id="28">
    <w:p w:rsidR="007520AE" w:rsidRPr="0039528F" w:rsidRDefault="007520AE" w:rsidP="0039528F">
      <w:pPr>
        <w:pStyle w:val="Notedebasdepage"/>
        <w:tabs>
          <w:tab w:val="clear" w:pos="1021"/>
        </w:tabs>
        <w:ind w:left="624" w:firstLine="0"/>
        <w:rPr>
          <w:lang w:val="en-US"/>
        </w:rPr>
      </w:pPr>
      <w:r w:rsidRPr="0039528F">
        <w:rPr>
          <w:rStyle w:val="Appelnotedebasdep"/>
          <w:lang w:val="fr-CA"/>
        </w:rPr>
        <w:footnoteRef/>
      </w:r>
      <w:r w:rsidRPr="00717BE8">
        <w:rPr>
          <w:lang w:val="en-US"/>
        </w:rPr>
        <w:t xml:space="preserve"> </w:t>
      </w:r>
      <w:proofErr w:type="spellStart"/>
      <w:r w:rsidRPr="00717BE8">
        <w:rPr>
          <w:lang w:val="en-US"/>
        </w:rPr>
        <w:t>Secrétariat</w:t>
      </w:r>
      <w:proofErr w:type="spellEnd"/>
      <w:r w:rsidRPr="00717BE8">
        <w:rPr>
          <w:lang w:val="en-US"/>
        </w:rPr>
        <w:t xml:space="preserve"> du Commonwealth, </w:t>
      </w:r>
      <w:r w:rsidRPr="00717BE8">
        <w:rPr>
          <w:i/>
          <w:lang w:val="en-US"/>
        </w:rPr>
        <w:t>Commonwealth Manual on Human Rights Training for Police</w:t>
      </w:r>
      <w:r w:rsidRPr="00717BE8">
        <w:rPr>
          <w:lang w:val="en-US"/>
        </w:rPr>
        <w:t xml:space="preserve"> (</w:t>
      </w:r>
      <w:proofErr w:type="spellStart"/>
      <w:r w:rsidRPr="00717BE8">
        <w:rPr>
          <w:lang w:val="en-US"/>
        </w:rPr>
        <w:t>Londres</w:t>
      </w:r>
      <w:proofErr w:type="spellEnd"/>
      <w:r w:rsidRPr="00717BE8">
        <w:rPr>
          <w:lang w:val="en-US"/>
        </w:rPr>
        <w:t>, </w:t>
      </w:r>
      <w:r w:rsidRPr="0039528F">
        <w:rPr>
          <w:lang w:val="en-US"/>
        </w:rPr>
        <w:t>2006)</w:t>
      </w:r>
    </w:p>
  </w:footnote>
  <w:footnote w:id="29">
    <w:p w:rsidR="007520AE" w:rsidRPr="00053ED2" w:rsidRDefault="007520AE" w:rsidP="00053ED2">
      <w:pPr>
        <w:pStyle w:val="Notedebasdepage"/>
        <w:ind w:left="1758"/>
        <w:rPr>
          <w:lang w:val="en-US"/>
        </w:rPr>
      </w:pPr>
      <w:r>
        <w:rPr>
          <w:rStyle w:val="Appelnotedebasdep"/>
        </w:rPr>
        <w:footnoteRef/>
      </w:r>
      <w:r>
        <w:t xml:space="preserve"> </w:t>
      </w:r>
      <w:proofErr w:type="spellStart"/>
      <w:r>
        <w:rPr>
          <w:lang w:val="en-US"/>
        </w:rPr>
        <w:t>Voir</w:t>
      </w:r>
      <w:proofErr w:type="spellEnd"/>
      <w:r>
        <w:rPr>
          <w:lang w:val="en-US"/>
        </w:rPr>
        <w:t xml:space="preserve"> </w:t>
      </w:r>
      <w:r w:rsidR="00A52B11">
        <w:rPr>
          <w:lang w:val="en-US"/>
        </w:rPr>
        <w:t>A/HRC/20/27, par.</w:t>
      </w:r>
      <w:r>
        <w:rPr>
          <w:lang w:val="en-US"/>
        </w:rPr>
        <w:t> </w:t>
      </w:r>
      <w:r w:rsidRPr="00053ED2">
        <w:rPr>
          <w:lang w:val="en-US"/>
        </w:rPr>
        <w:t>31</w:t>
      </w:r>
      <w:r>
        <w:rPr>
          <w:lang w:val="en-US"/>
        </w:rPr>
        <w:t>.</w:t>
      </w:r>
    </w:p>
  </w:footnote>
  <w:footnote w:id="30">
    <w:p w:rsidR="007520AE" w:rsidRPr="00C730B6" w:rsidRDefault="007520AE" w:rsidP="003508BE">
      <w:pPr>
        <w:pStyle w:val="Notedebasdepage"/>
        <w:tabs>
          <w:tab w:val="clear" w:pos="1021"/>
        </w:tabs>
        <w:ind w:left="624" w:firstLine="0"/>
        <w:rPr>
          <w:lang w:val="fr-CA"/>
        </w:rPr>
      </w:pPr>
      <w:r>
        <w:rPr>
          <w:rStyle w:val="Appelnotedebasdep"/>
        </w:rPr>
        <w:footnoteRef/>
      </w:r>
      <w:r w:rsidRPr="00C730B6">
        <w:rPr>
          <w:lang w:val="fr-CA"/>
        </w:rPr>
        <w:t xml:space="preserve"> </w:t>
      </w:r>
      <w:r>
        <w:rPr>
          <w:lang w:val="fr-CA"/>
        </w:rPr>
        <w:t>Tribunal de grande instance de la Nouvelle-Galles du Sud</w:t>
      </w:r>
      <w:r w:rsidRPr="00C730B6">
        <w:rPr>
          <w:szCs w:val="18"/>
          <w:lang w:val="fr-CA"/>
        </w:rPr>
        <w:t xml:space="preserve">, </w:t>
      </w:r>
      <w:r w:rsidRPr="00C730B6">
        <w:rPr>
          <w:i/>
          <w:szCs w:val="18"/>
          <w:lang w:val="fr-CA"/>
        </w:rPr>
        <w:t xml:space="preserve">Regina </w:t>
      </w:r>
      <w:r>
        <w:rPr>
          <w:szCs w:val="18"/>
          <w:lang w:val="fr-CA"/>
        </w:rPr>
        <w:t>c</w:t>
      </w:r>
      <w:r w:rsidRPr="00C730B6">
        <w:rPr>
          <w:szCs w:val="18"/>
          <w:lang w:val="fr-CA"/>
        </w:rPr>
        <w:t>.</w:t>
      </w:r>
      <w:r w:rsidRPr="00C730B6">
        <w:rPr>
          <w:i/>
          <w:szCs w:val="18"/>
          <w:lang w:val="fr-CA"/>
        </w:rPr>
        <w:t xml:space="preserve"> Kirkwood et a</w:t>
      </w:r>
      <w:r>
        <w:rPr>
          <w:i/>
          <w:szCs w:val="18"/>
          <w:lang w:val="fr-CA"/>
        </w:rPr>
        <w:t>utres</w:t>
      </w:r>
      <w:r w:rsidRPr="00C730B6">
        <w:rPr>
          <w:szCs w:val="18"/>
          <w:lang w:val="fr-CA"/>
        </w:rPr>
        <w:t>, DCZ EF-C, arrêt du 15 mai 2002, (non publié), p. 5.</w:t>
      </w:r>
    </w:p>
  </w:footnote>
  <w:footnote w:id="31">
    <w:p w:rsidR="007520AE" w:rsidRPr="00453FD3" w:rsidRDefault="007520AE" w:rsidP="00453FD3">
      <w:pPr>
        <w:pStyle w:val="Notedebasdepage"/>
        <w:tabs>
          <w:tab w:val="clear" w:pos="1021"/>
        </w:tabs>
        <w:ind w:left="1758"/>
        <w:rPr>
          <w:lang w:val="en-US"/>
        </w:rPr>
      </w:pPr>
      <w:r>
        <w:rPr>
          <w:rStyle w:val="Appelnotedebasdep"/>
        </w:rPr>
        <w:footnoteRef/>
      </w:r>
      <w:r w:rsidR="00006D84">
        <w:t xml:space="preserve"> Voir A/HRC/20/27, par.</w:t>
      </w:r>
      <w:r>
        <w:t> 50</w:t>
      </w:r>
    </w:p>
  </w:footnote>
  <w:footnote w:id="32">
    <w:p w:rsidR="007520AE" w:rsidRPr="0027725D" w:rsidRDefault="007520AE" w:rsidP="004072C6">
      <w:pPr>
        <w:pStyle w:val="Notedebasdepage"/>
        <w:tabs>
          <w:tab w:val="clear" w:pos="1021"/>
        </w:tabs>
        <w:ind w:left="624" w:firstLine="0"/>
        <w:rPr>
          <w:i/>
          <w:lang w:val="fr-CA"/>
        </w:rPr>
      </w:pPr>
      <w:r>
        <w:rPr>
          <w:rStyle w:val="Appelnotedebasdep"/>
        </w:rPr>
        <w:footnoteRef/>
      </w:r>
      <w:r>
        <w:t xml:space="preserve"> Cour interaméricaine des droits de l'homme, </w:t>
      </w:r>
      <w:proofErr w:type="spellStart"/>
      <w:r>
        <w:rPr>
          <w:i/>
        </w:rPr>
        <w:t>Vélez</w:t>
      </w:r>
      <w:proofErr w:type="spellEnd"/>
      <w:r>
        <w:rPr>
          <w:i/>
        </w:rPr>
        <w:t xml:space="preserve"> </w:t>
      </w:r>
      <w:proofErr w:type="spellStart"/>
      <w:r>
        <w:rPr>
          <w:i/>
        </w:rPr>
        <w:t>Restrepo</w:t>
      </w:r>
      <w:proofErr w:type="spellEnd"/>
      <w:r>
        <w:rPr>
          <w:i/>
        </w:rPr>
        <w:t xml:space="preserve"> et famille c. Colombie, </w:t>
      </w:r>
      <w:r>
        <w:t>exception préliminaire, fond, réparations et dépens, arrêt du 3 septembre 2012, série C n</w:t>
      </w:r>
      <w:r>
        <w:rPr>
          <w:vertAlign w:val="superscript"/>
        </w:rPr>
        <w:t>o</w:t>
      </w:r>
      <w:r>
        <w:t> 248.</w:t>
      </w:r>
    </w:p>
  </w:footnote>
  <w:footnote w:id="33">
    <w:p w:rsidR="007520AE" w:rsidRPr="003727F9" w:rsidRDefault="007520AE" w:rsidP="002C7AC4">
      <w:pPr>
        <w:pStyle w:val="Notedebasdepage"/>
        <w:tabs>
          <w:tab w:val="clear" w:pos="1021"/>
        </w:tabs>
        <w:ind w:left="624" w:firstLine="0"/>
        <w:rPr>
          <w:lang w:val="fr-FR"/>
        </w:rPr>
      </w:pPr>
      <w:r>
        <w:rPr>
          <w:rStyle w:val="Appelnotedebasdep"/>
        </w:rPr>
        <w:footnoteRef/>
      </w:r>
      <w:r>
        <w:t xml:space="preserve"> </w:t>
      </w:r>
      <w:r w:rsidRPr="003727F9">
        <w:rPr>
          <w:lang w:val="fr-FR"/>
        </w:rPr>
        <w:t xml:space="preserve">Voir </w:t>
      </w:r>
      <w:r w:rsidR="009E100C">
        <w:t>A/HRC/20/27, par.</w:t>
      </w:r>
      <w:r>
        <w:t> </w:t>
      </w:r>
      <w:r w:rsidRPr="00320E86">
        <w:t>32</w:t>
      </w:r>
      <w:r>
        <w:t>. Le Rapporteur spécial a en outre souligné que les droits de l’homme dans le contexte des manifestations pacifiques devraient également s’appliquer aux activités en ligne et s’est rangé à l’avis du Rapporteur spécial sur la promotion et la protection du droit à la liberté d’opinion et d’expression que tous les États devraient faire en sorte que l’accès à Internet soit maintenu en tout temps, y compris en période d’i</w:t>
      </w:r>
      <w:r w:rsidR="009E100C">
        <w:t>nstabilité politique (par.</w:t>
      </w:r>
      <w:r>
        <w:t> 84 k)).</w:t>
      </w:r>
    </w:p>
  </w:footnote>
  <w:footnote w:id="34">
    <w:p w:rsidR="007520AE" w:rsidRPr="00D01485" w:rsidRDefault="007520AE" w:rsidP="00D01485">
      <w:pPr>
        <w:pStyle w:val="Notedebasdepage"/>
        <w:tabs>
          <w:tab w:val="clear" w:pos="1021"/>
        </w:tabs>
        <w:ind w:left="624" w:firstLine="0"/>
        <w:rPr>
          <w:lang w:val="fr-CA"/>
        </w:rPr>
      </w:pPr>
      <w:r>
        <w:rPr>
          <w:rStyle w:val="Appelnotedebasdep"/>
        </w:rPr>
        <w:footnoteRef/>
      </w:r>
      <w:r>
        <w:t xml:space="preserve"> </w:t>
      </w:r>
      <w:r w:rsidRPr="00D01485">
        <w:t>Arménie, Azerbaïdjan, Bulgarie, Espagne, Estonie, Fédération de Russie, Inde, Madagascar, Maroc, Maurice, Moldova, Monténégro, Roumanie, Slovénie et Turquie</w:t>
      </w:r>
      <w:r w:rsidR="00B8716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E" w:rsidRDefault="007520AE">
    <w:pPr>
      <w:pStyle w:val="En-tte"/>
    </w:pPr>
    <w:r>
      <w:t>A/HRC/22/28</w:t>
    </w:r>
  </w:p>
  <w:p w:rsidR="00697111" w:rsidRPr="00697111" w:rsidRDefault="00697111" w:rsidP="006971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E" w:rsidRDefault="007520AE" w:rsidP="00C317E1">
    <w:pPr>
      <w:pStyle w:val="En-tte"/>
      <w:jc w:val="right"/>
    </w:pPr>
    <w:r>
      <w:t>A/HRC/22/28</w:t>
    </w:r>
  </w:p>
  <w:p w:rsidR="00D66E8D" w:rsidRPr="00D66E8D" w:rsidRDefault="00D66E8D" w:rsidP="00D66E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C1" w:rsidRDefault="00C721C1" w:rsidP="00862CF4">
    <w:pPr>
      <w:pStyle w:val="En-tte"/>
      <w:jc w:val="right"/>
    </w:pPr>
  </w:p>
  <w:p w:rsidR="00697111" w:rsidRPr="00697111" w:rsidRDefault="00697111" w:rsidP="0069711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6E" w:rsidRDefault="0080386E" w:rsidP="00862CF4">
    <w:pPr>
      <w:pStyle w:val="En-tte"/>
      <w:jc w:val="right"/>
    </w:pPr>
    <w:r>
      <w:t>A/HRC/22/28</w:t>
    </w:r>
  </w:p>
  <w:p w:rsidR="0080386E" w:rsidRPr="00697111" w:rsidRDefault="0080386E" w:rsidP="006971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56636E"/>
    <w:lvl w:ilvl="0">
      <w:start w:val="1"/>
      <w:numFmt w:val="decimal"/>
      <w:lvlText w:val="%1."/>
      <w:lvlJc w:val="left"/>
      <w:pPr>
        <w:tabs>
          <w:tab w:val="num" w:pos="1492"/>
        </w:tabs>
        <w:ind w:left="1492" w:hanging="360"/>
      </w:pPr>
    </w:lvl>
  </w:abstractNum>
  <w:abstractNum w:abstractNumId="1">
    <w:nsid w:val="FFFFFF7D"/>
    <w:multiLevelType w:val="singleLevel"/>
    <w:tmpl w:val="906E471A"/>
    <w:lvl w:ilvl="0">
      <w:start w:val="1"/>
      <w:numFmt w:val="decimal"/>
      <w:lvlText w:val="%1."/>
      <w:lvlJc w:val="left"/>
      <w:pPr>
        <w:tabs>
          <w:tab w:val="num" w:pos="1209"/>
        </w:tabs>
        <w:ind w:left="1209" w:hanging="360"/>
      </w:pPr>
    </w:lvl>
  </w:abstractNum>
  <w:abstractNum w:abstractNumId="2">
    <w:nsid w:val="FFFFFF7E"/>
    <w:multiLevelType w:val="singleLevel"/>
    <w:tmpl w:val="B9965D64"/>
    <w:lvl w:ilvl="0">
      <w:start w:val="1"/>
      <w:numFmt w:val="decimal"/>
      <w:lvlText w:val="%1."/>
      <w:lvlJc w:val="left"/>
      <w:pPr>
        <w:tabs>
          <w:tab w:val="num" w:pos="926"/>
        </w:tabs>
        <w:ind w:left="926" w:hanging="360"/>
      </w:pPr>
    </w:lvl>
  </w:abstractNum>
  <w:abstractNum w:abstractNumId="3">
    <w:nsid w:val="FFFFFF7F"/>
    <w:multiLevelType w:val="singleLevel"/>
    <w:tmpl w:val="3F0C1D22"/>
    <w:lvl w:ilvl="0">
      <w:start w:val="1"/>
      <w:numFmt w:val="decimal"/>
      <w:lvlText w:val="%1."/>
      <w:lvlJc w:val="left"/>
      <w:pPr>
        <w:tabs>
          <w:tab w:val="num" w:pos="643"/>
        </w:tabs>
        <w:ind w:left="643" w:hanging="360"/>
      </w:pPr>
    </w:lvl>
  </w:abstractNum>
  <w:abstractNum w:abstractNumId="4">
    <w:nsid w:val="FFFFFF80"/>
    <w:multiLevelType w:val="singleLevel"/>
    <w:tmpl w:val="06EE2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088B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82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1A3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EAB37A"/>
    <w:lvl w:ilvl="0">
      <w:start w:val="1"/>
      <w:numFmt w:val="decimal"/>
      <w:lvlText w:val="%1."/>
      <w:lvlJc w:val="left"/>
      <w:pPr>
        <w:tabs>
          <w:tab w:val="num" w:pos="360"/>
        </w:tabs>
        <w:ind w:left="360" w:hanging="360"/>
      </w:pPr>
    </w:lvl>
  </w:abstractNum>
  <w:abstractNum w:abstractNumId="9">
    <w:nsid w:val="FFFFFF89"/>
    <w:multiLevelType w:val="singleLevel"/>
    <w:tmpl w:val="0B0C431C"/>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B8FC0E9E"/>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B3F49C6"/>
    <w:multiLevelType w:val="singleLevel"/>
    <w:tmpl w:val="720CB540"/>
    <w:lvl w:ilvl="0">
      <w:start w:val="1"/>
      <w:numFmt w:val="lowerRoman"/>
      <w:lvlText w:val="(%1)"/>
      <w:lvlJc w:val="right"/>
      <w:pPr>
        <w:tabs>
          <w:tab w:val="num" w:pos="2160"/>
        </w:tabs>
        <w:ind w:left="2160" w:hanging="516"/>
      </w:pPr>
    </w:lvl>
  </w:abstractNum>
  <w:abstractNum w:abstractNumId="12">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0B953AA"/>
    <w:multiLevelType w:val="hybridMultilevel"/>
    <w:tmpl w:val="BA68A6F4"/>
    <w:lvl w:ilvl="0" w:tplc="DE3A0C3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nsid w:val="46EA3861"/>
    <w:multiLevelType w:val="hybridMultilevel"/>
    <w:tmpl w:val="81C4DE90"/>
    <w:lvl w:ilvl="0" w:tplc="F86045EC">
      <w:start w:val="1"/>
      <w:numFmt w:val="upperRoman"/>
      <w:pStyle w:val="Style1"/>
      <w:lvlText w:val="%1."/>
      <w:lvlJc w:val="left"/>
      <w:pPr>
        <w:ind w:left="1395" w:hanging="720"/>
      </w:pPr>
      <w:rPr>
        <w:rFonts w:hint="default"/>
      </w:rPr>
    </w:lvl>
    <w:lvl w:ilvl="1" w:tplc="FFB8BA58">
      <w:start w:val="1"/>
      <w:numFmt w:val="upperLetter"/>
      <w:pStyle w:val="Style2"/>
      <w:lvlText w:val="%2."/>
      <w:lvlJc w:val="left"/>
      <w:pPr>
        <w:ind w:left="2010" w:hanging="615"/>
      </w:pPr>
      <w:rPr>
        <w:rFonts w:hint="default"/>
      </w:rPr>
    </w:lvl>
    <w:lvl w:ilvl="2" w:tplc="0C0C001B" w:tentative="1">
      <w:start w:val="1"/>
      <w:numFmt w:val="lowerRoman"/>
      <w:lvlText w:val="%3."/>
      <w:lvlJc w:val="right"/>
      <w:pPr>
        <w:ind w:left="2475" w:hanging="180"/>
      </w:pPr>
    </w:lvl>
    <w:lvl w:ilvl="3" w:tplc="0C0C000F" w:tentative="1">
      <w:start w:val="1"/>
      <w:numFmt w:val="decimal"/>
      <w:lvlText w:val="%4."/>
      <w:lvlJc w:val="left"/>
      <w:pPr>
        <w:ind w:left="3195" w:hanging="360"/>
      </w:pPr>
    </w:lvl>
    <w:lvl w:ilvl="4" w:tplc="0C0C0019" w:tentative="1">
      <w:start w:val="1"/>
      <w:numFmt w:val="lowerLetter"/>
      <w:lvlText w:val="%5."/>
      <w:lvlJc w:val="left"/>
      <w:pPr>
        <w:ind w:left="3915" w:hanging="360"/>
      </w:pPr>
    </w:lvl>
    <w:lvl w:ilvl="5" w:tplc="0C0C001B" w:tentative="1">
      <w:start w:val="1"/>
      <w:numFmt w:val="lowerRoman"/>
      <w:lvlText w:val="%6."/>
      <w:lvlJc w:val="right"/>
      <w:pPr>
        <w:ind w:left="4635" w:hanging="180"/>
      </w:pPr>
    </w:lvl>
    <w:lvl w:ilvl="6" w:tplc="0C0C000F" w:tentative="1">
      <w:start w:val="1"/>
      <w:numFmt w:val="decimal"/>
      <w:lvlText w:val="%7."/>
      <w:lvlJc w:val="left"/>
      <w:pPr>
        <w:ind w:left="5355" w:hanging="360"/>
      </w:pPr>
    </w:lvl>
    <w:lvl w:ilvl="7" w:tplc="0C0C0019" w:tentative="1">
      <w:start w:val="1"/>
      <w:numFmt w:val="lowerLetter"/>
      <w:lvlText w:val="%8."/>
      <w:lvlJc w:val="left"/>
      <w:pPr>
        <w:ind w:left="6075" w:hanging="360"/>
      </w:pPr>
    </w:lvl>
    <w:lvl w:ilvl="8" w:tplc="0C0C001B" w:tentative="1">
      <w:start w:val="1"/>
      <w:numFmt w:val="lowerRoman"/>
      <w:lvlText w:val="%9."/>
      <w:lvlJc w:val="right"/>
      <w:pPr>
        <w:ind w:left="6795" w:hanging="180"/>
      </w:pPr>
    </w:lvl>
  </w:abstractNum>
  <w:abstractNum w:abstractNumId="1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19"/>
  </w:num>
  <w:num w:numId="2">
    <w:abstractNumId w:val="11"/>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2"/>
  </w:num>
  <w:num w:numId="14">
    <w:abstractNumId w:val="18"/>
  </w:num>
  <w:num w:numId="15">
    <w:abstractNumId w:val="17"/>
  </w:num>
  <w:num w:numId="16">
    <w:abstractNumId w:val="16"/>
  </w:num>
  <w:num w:numId="17">
    <w:abstractNumId w:val="14"/>
  </w:num>
  <w:num w:numId="18">
    <w:abstractNumId w:val="16"/>
  </w:num>
  <w:num w:numId="19">
    <w:abstractNumId w:val="14"/>
  </w:num>
  <w:num w:numId="20">
    <w:abstractNumId w:val="10"/>
  </w:num>
  <w:num w:numId="21">
    <w:abstractNumId w:val="15"/>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3"/>
  </w:num>
  <w:num w:numId="37">
    <w:abstractNumId w:val="15"/>
  </w:num>
  <w:num w:numId="38">
    <w:abstractNumId w:val="15"/>
  </w:num>
  <w:num w:numId="39">
    <w:abstractNumId w:val="15"/>
  </w:num>
  <w:num w:numId="40">
    <w:abstractNumId w:val="15"/>
  </w:num>
  <w:num w:numId="41">
    <w:abstractNumId w:val="15"/>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16"/>
    <w:rsid w:val="0000123C"/>
    <w:rsid w:val="00006D84"/>
    <w:rsid w:val="00016AC5"/>
    <w:rsid w:val="0002165B"/>
    <w:rsid w:val="00030DCE"/>
    <w:rsid w:val="000368AF"/>
    <w:rsid w:val="00047583"/>
    <w:rsid w:val="00051116"/>
    <w:rsid w:val="000524D2"/>
    <w:rsid w:val="00053654"/>
    <w:rsid w:val="00053ED2"/>
    <w:rsid w:val="0005654B"/>
    <w:rsid w:val="00057BC0"/>
    <w:rsid w:val="00060CA7"/>
    <w:rsid w:val="000622A1"/>
    <w:rsid w:val="00066AC4"/>
    <w:rsid w:val="000675FE"/>
    <w:rsid w:val="00077A05"/>
    <w:rsid w:val="00081423"/>
    <w:rsid w:val="00082453"/>
    <w:rsid w:val="00087B65"/>
    <w:rsid w:val="00090A77"/>
    <w:rsid w:val="000960E4"/>
    <w:rsid w:val="00097B38"/>
    <w:rsid w:val="000A1488"/>
    <w:rsid w:val="000A63CB"/>
    <w:rsid w:val="000A6EF2"/>
    <w:rsid w:val="000A773D"/>
    <w:rsid w:val="000A7D9F"/>
    <w:rsid w:val="000B09A7"/>
    <w:rsid w:val="000B131A"/>
    <w:rsid w:val="000B3A77"/>
    <w:rsid w:val="000C247D"/>
    <w:rsid w:val="000C7498"/>
    <w:rsid w:val="000E03D2"/>
    <w:rsid w:val="000E155B"/>
    <w:rsid w:val="000F41F2"/>
    <w:rsid w:val="000F4B74"/>
    <w:rsid w:val="000F7E74"/>
    <w:rsid w:val="001021E3"/>
    <w:rsid w:val="00105959"/>
    <w:rsid w:val="00110933"/>
    <w:rsid w:val="00111662"/>
    <w:rsid w:val="00111D3A"/>
    <w:rsid w:val="00130DEA"/>
    <w:rsid w:val="00133B7A"/>
    <w:rsid w:val="0013468E"/>
    <w:rsid w:val="001370FA"/>
    <w:rsid w:val="0014763D"/>
    <w:rsid w:val="00153B2E"/>
    <w:rsid w:val="001541A3"/>
    <w:rsid w:val="00160540"/>
    <w:rsid w:val="001611E6"/>
    <w:rsid w:val="00170BBF"/>
    <w:rsid w:val="0017135C"/>
    <w:rsid w:val="001713FF"/>
    <w:rsid w:val="001807E1"/>
    <w:rsid w:val="001842C8"/>
    <w:rsid w:val="0018615A"/>
    <w:rsid w:val="001924AB"/>
    <w:rsid w:val="00192EEB"/>
    <w:rsid w:val="001976DA"/>
    <w:rsid w:val="001A20FB"/>
    <w:rsid w:val="001B2053"/>
    <w:rsid w:val="001B4C0D"/>
    <w:rsid w:val="001B6907"/>
    <w:rsid w:val="001B7CFC"/>
    <w:rsid w:val="001C20A2"/>
    <w:rsid w:val="001C2FD5"/>
    <w:rsid w:val="001C41C8"/>
    <w:rsid w:val="001C4B9A"/>
    <w:rsid w:val="001C6647"/>
    <w:rsid w:val="001C7882"/>
    <w:rsid w:val="001D16C9"/>
    <w:rsid w:val="001D495C"/>
    <w:rsid w:val="001D7014"/>
    <w:rsid w:val="001E3FEB"/>
    <w:rsid w:val="001E4A02"/>
    <w:rsid w:val="001E577C"/>
    <w:rsid w:val="001F14DA"/>
    <w:rsid w:val="001F218B"/>
    <w:rsid w:val="0020192E"/>
    <w:rsid w:val="00202327"/>
    <w:rsid w:val="00202520"/>
    <w:rsid w:val="00211988"/>
    <w:rsid w:val="00216E77"/>
    <w:rsid w:val="0021715D"/>
    <w:rsid w:val="00217DB9"/>
    <w:rsid w:val="0022343C"/>
    <w:rsid w:val="00224401"/>
    <w:rsid w:val="00227A72"/>
    <w:rsid w:val="0023200D"/>
    <w:rsid w:val="0023668F"/>
    <w:rsid w:val="00241862"/>
    <w:rsid w:val="00243194"/>
    <w:rsid w:val="00245F2B"/>
    <w:rsid w:val="00253026"/>
    <w:rsid w:val="0025323A"/>
    <w:rsid w:val="002542A3"/>
    <w:rsid w:val="0026040F"/>
    <w:rsid w:val="002620F9"/>
    <w:rsid w:val="002659F1"/>
    <w:rsid w:val="00267A42"/>
    <w:rsid w:val="00272374"/>
    <w:rsid w:val="0027725D"/>
    <w:rsid w:val="002803B0"/>
    <w:rsid w:val="00285A0A"/>
    <w:rsid w:val="00286F64"/>
    <w:rsid w:val="00286F7E"/>
    <w:rsid w:val="00287E79"/>
    <w:rsid w:val="002928F9"/>
    <w:rsid w:val="00292EF8"/>
    <w:rsid w:val="0029324C"/>
    <w:rsid w:val="00296525"/>
    <w:rsid w:val="002A5D07"/>
    <w:rsid w:val="002A5DE8"/>
    <w:rsid w:val="002A66C4"/>
    <w:rsid w:val="002C0D35"/>
    <w:rsid w:val="002C2060"/>
    <w:rsid w:val="002C30F5"/>
    <w:rsid w:val="002C7AC4"/>
    <w:rsid w:val="002D04CF"/>
    <w:rsid w:val="002D1C40"/>
    <w:rsid w:val="002D4BD0"/>
    <w:rsid w:val="002D6D59"/>
    <w:rsid w:val="002D7E5C"/>
    <w:rsid w:val="002E1B09"/>
    <w:rsid w:val="002F0541"/>
    <w:rsid w:val="002F2CEB"/>
    <w:rsid w:val="003001A7"/>
    <w:rsid w:val="00300F5E"/>
    <w:rsid w:val="003016B7"/>
    <w:rsid w:val="00302EA8"/>
    <w:rsid w:val="0030364E"/>
    <w:rsid w:val="0030737F"/>
    <w:rsid w:val="00314308"/>
    <w:rsid w:val="0031738A"/>
    <w:rsid w:val="00325342"/>
    <w:rsid w:val="00326A33"/>
    <w:rsid w:val="00327C88"/>
    <w:rsid w:val="00345B91"/>
    <w:rsid w:val="003508BE"/>
    <w:rsid w:val="003515AA"/>
    <w:rsid w:val="00353C52"/>
    <w:rsid w:val="0035569A"/>
    <w:rsid w:val="00355B24"/>
    <w:rsid w:val="0036233F"/>
    <w:rsid w:val="003727F9"/>
    <w:rsid w:val="00374106"/>
    <w:rsid w:val="00375577"/>
    <w:rsid w:val="003760D1"/>
    <w:rsid w:val="0037787B"/>
    <w:rsid w:val="003808AE"/>
    <w:rsid w:val="0038133F"/>
    <w:rsid w:val="00387780"/>
    <w:rsid w:val="00393F60"/>
    <w:rsid w:val="0039452D"/>
    <w:rsid w:val="0039528F"/>
    <w:rsid w:val="00395FE1"/>
    <w:rsid w:val="0039663E"/>
    <w:rsid w:val="00396FF0"/>
    <w:rsid w:val="003975D4"/>
    <w:rsid w:val="003976D5"/>
    <w:rsid w:val="003A358B"/>
    <w:rsid w:val="003A488C"/>
    <w:rsid w:val="003A6CC4"/>
    <w:rsid w:val="003B2641"/>
    <w:rsid w:val="003B5762"/>
    <w:rsid w:val="003B6626"/>
    <w:rsid w:val="003B6ADC"/>
    <w:rsid w:val="003C1135"/>
    <w:rsid w:val="003C404A"/>
    <w:rsid w:val="003D119F"/>
    <w:rsid w:val="003D3AE8"/>
    <w:rsid w:val="003D4D0B"/>
    <w:rsid w:val="003D6A39"/>
    <w:rsid w:val="003D6C68"/>
    <w:rsid w:val="003D7757"/>
    <w:rsid w:val="003E061D"/>
    <w:rsid w:val="003E68F5"/>
    <w:rsid w:val="003F6529"/>
    <w:rsid w:val="003F69E3"/>
    <w:rsid w:val="004042A2"/>
    <w:rsid w:val="004072C6"/>
    <w:rsid w:val="00412C91"/>
    <w:rsid w:val="004159D0"/>
    <w:rsid w:val="00416D44"/>
    <w:rsid w:val="00417918"/>
    <w:rsid w:val="00442023"/>
    <w:rsid w:val="00445DEF"/>
    <w:rsid w:val="004477C8"/>
    <w:rsid w:val="00451C41"/>
    <w:rsid w:val="00453FD3"/>
    <w:rsid w:val="00460806"/>
    <w:rsid w:val="00460D9D"/>
    <w:rsid w:val="00470EC6"/>
    <w:rsid w:val="004711C3"/>
    <w:rsid w:val="004725F2"/>
    <w:rsid w:val="00473071"/>
    <w:rsid w:val="0047353B"/>
    <w:rsid w:val="00481744"/>
    <w:rsid w:val="004973B7"/>
    <w:rsid w:val="004A0027"/>
    <w:rsid w:val="004A06EF"/>
    <w:rsid w:val="004B2F4D"/>
    <w:rsid w:val="004B66ED"/>
    <w:rsid w:val="004C2D76"/>
    <w:rsid w:val="004C4D9D"/>
    <w:rsid w:val="004D0950"/>
    <w:rsid w:val="004D3DD3"/>
    <w:rsid w:val="004D3F1D"/>
    <w:rsid w:val="004D4C42"/>
    <w:rsid w:val="004E1D97"/>
    <w:rsid w:val="004F6563"/>
    <w:rsid w:val="00503619"/>
    <w:rsid w:val="00505E5F"/>
    <w:rsid w:val="00513046"/>
    <w:rsid w:val="00513B71"/>
    <w:rsid w:val="00513EB1"/>
    <w:rsid w:val="005146F7"/>
    <w:rsid w:val="0052624B"/>
    <w:rsid w:val="005278CE"/>
    <w:rsid w:val="00531A6F"/>
    <w:rsid w:val="005354ED"/>
    <w:rsid w:val="005535B2"/>
    <w:rsid w:val="00560D68"/>
    <w:rsid w:val="00560D95"/>
    <w:rsid w:val="00565A05"/>
    <w:rsid w:val="00566F01"/>
    <w:rsid w:val="00571F41"/>
    <w:rsid w:val="00572F86"/>
    <w:rsid w:val="005826F5"/>
    <w:rsid w:val="005905E8"/>
    <w:rsid w:val="00594015"/>
    <w:rsid w:val="00594033"/>
    <w:rsid w:val="00594B66"/>
    <w:rsid w:val="005A4F5A"/>
    <w:rsid w:val="005B2D6C"/>
    <w:rsid w:val="005B72AB"/>
    <w:rsid w:val="005C4690"/>
    <w:rsid w:val="005C5F0D"/>
    <w:rsid w:val="005C67D6"/>
    <w:rsid w:val="005D40D4"/>
    <w:rsid w:val="005D48D4"/>
    <w:rsid w:val="005E1217"/>
    <w:rsid w:val="005E1573"/>
    <w:rsid w:val="005E1CB2"/>
    <w:rsid w:val="005E314B"/>
    <w:rsid w:val="005E3A85"/>
    <w:rsid w:val="005E5D1F"/>
    <w:rsid w:val="005F03C6"/>
    <w:rsid w:val="005F2046"/>
    <w:rsid w:val="005F3C29"/>
    <w:rsid w:val="00600FFE"/>
    <w:rsid w:val="006040A9"/>
    <w:rsid w:val="006047E1"/>
    <w:rsid w:val="006048C6"/>
    <w:rsid w:val="00612D48"/>
    <w:rsid w:val="006146CA"/>
    <w:rsid w:val="006165C9"/>
    <w:rsid w:val="00616B45"/>
    <w:rsid w:val="006213C5"/>
    <w:rsid w:val="00622446"/>
    <w:rsid w:val="0062519F"/>
    <w:rsid w:val="006354A9"/>
    <w:rsid w:val="006439EC"/>
    <w:rsid w:val="00650E29"/>
    <w:rsid w:val="00654AF1"/>
    <w:rsid w:val="0066166E"/>
    <w:rsid w:val="0066596D"/>
    <w:rsid w:val="00665DE6"/>
    <w:rsid w:val="006713AD"/>
    <w:rsid w:val="006739B9"/>
    <w:rsid w:val="00682A75"/>
    <w:rsid w:val="0068349D"/>
    <w:rsid w:val="00697111"/>
    <w:rsid w:val="00697D45"/>
    <w:rsid w:val="006A0368"/>
    <w:rsid w:val="006A2220"/>
    <w:rsid w:val="006A3805"/>
    <w:rsid w:val="006A521F"/>
    <w:rsid w:val="006B010E"/>
    <w:rsid w:val="006B4590"/>
    <w:rsid w:val="006B498D"/>
    <w:rsid w:val="006C340C"/>
    <w:rsid w:val="006C62EF"/>
    <w:rsid w:val="006C6556"/>
    <w:rsid w:val="006C698A"/>
    <w:rsid w:val="006C72D0"/>
    <w:rsid w:val="006D0AB7"/>
    <w:rsid w:val="006D78C5"/>
    <w:rsid w:val="006E0516"/>
    <w:rsid w:val="006E05EE"/>
    <w:rsid w:val="006E3527"/>
    <w:rsid w:val="006E781F"/>
    <w:rsid w:val="006F0114"/>
    <w:rsid w:val="006F167F"/>
    <w:rsid w:val="006F2652"/>
    <w:rsid w:val="006F52AD"/>
    <w:rsid w:val="006F56C8"/>
    <w:rsid w:val="0070347C"/>
    <w:rsid w:val="007037C1"/>
    <w:rsid w:val="007061FF"/>
    <w:rsid w:val="0071457D"/>
    <w:rsid w:val="007170F0"/>
    <w:rsid w:val="00717BE8"/>
    <w:rsid w:val="00723035"/>
    <w:rsid w:val="00724C5D"/>
    <w:rsid w:val="00725BE0"/>
    <w:rsid w:val="0073544D"/>
    <w:rsid w:val="00736D9C"/>
    <w:rsid w:val="0074106D"/>
    <w:rsid w:val="007432B3"/>
    <w:rsid w:val="00743F9E"/>
    <w:rsid w:val="00744801"/>
    <w:rsid w:val="007455A5"/>
    <w:rsid w:val="007520AE"/>
    <w:rsid w:val="00757B26"/>
    <w:rsid w:val="007602DF"/>
    <w:rsid w:val="00761A54"/>
    <w:rsid w:val="00770C75"/>
    <w:rsid w:val="007713E1"/>
    <w:rsid w:val="00774E57"/>
    <w:rsid w:val="00785BA2"/>
    <w:rsid w:val="00786ACC"/>
    <w:rsid w:val="00786D66"/>
    <w:rsid w:val="00790F63"/>
    <w:rsid w:val="007A74A5"/>
    <w:rsid w:val="007C0461"/>
    <w:rsid w:val="007C2C4F"/>
    <w:rsid w:val="007C4926"/>
    <w:rsid w:val="007C78F5"/>
    <w:rsid w:val="007D1F65"/>
    <w:rsid w:val="007D2FC3"/>
    <w:rsid w:val="007D30F7"/>
    <w:rsid w:val="007D311A"/>
    <w:rsid w:val="007E0F2B"/>
    <w:rsid w:val="007E7740"/>
    <w:rsid w:val="007F024D"/>
    <w:rsid w:val="007F20CD"/>
    <w:rsid w:val="0080386E"/>
    <w:rsid w:val="00804C2E"/>
    <w:rsid w:val="00807F35"/>
    <w:rsid w:val="0081197C"/>
    <w:rsid w:val="008124E1"/>
    <w:rsid w:val="008174B6"/>
    <w:rsid w:val="00820877"/>
    <w:rsid w:val="00821C31"/>
    <w:rsid w:val="008343C7"/>
    <w:rsid w:val="00834D3E"/>
    <w:rsid w:val="008353D6"/>
    <w:rsid w:val="00835830"/>
    <w:rsid w:val="00842496"/>
    <w:rsid w:val="00844750"/>
    <w:rsid w:val="00845CE7"/>
    <w:rsid w:val="00847AAE"/>
    <w:rsid w:val="00850701"/>
    <w:rsid w:val="008544E5"/>
    <w:rsid w:val="008563E9"/>
    <w:rsid w:val="00861EC4"/>
    <w:rsid w:val="00862856"/>
    <w:rsid w:val="00862CF4"/>
    <w:rsid w:val="00864194"/>
    <w:rsid w:val="00867769"/>
    <w:rsid w:val="0087266B"/>
    <w:rsid w:val="008764A1"/>
    <w:rsid w:val="0087793B"/>
    <w:rsid w:val="008803C2"/>
    <w:rsid w:val="00881C18"/>
    <w:rsid w:val="00886B43"/>
    <w:rsid w:val="008921DD"/>
    <w:rsid w:val="0089235F"/>
    <w:rsid w:val="0089595B"/>
    <w:rsid w:val="00896FBA"/>
    <w:rsid w:val="008A058C"/>
    <w:rsid w:val="008A09C6"/>
    <w:rsid w:val="008A1AEC"/>
    <w:rsid w:val="008B2894"/>
    <w:rsid w:val="008B7028"/>
    <w:rsid w:val="008C4D80"/>
    <w:rsid w:val="008C6737"/>
    <w:rsid w:val="008D7C08"/>
    <w:rsid w:val="008E3BFD"/>
    <w:rsid w:val="008E5F9C"/>
    <w:rsid w:val="008E77BF"/>
    <w:rsid w:val="008E7FAE"/>
    <w:rsid w:val="008F0300"/>
    <w:rsid w:val="0090221D"/>
    <w:rsid w:val="00902523"/>
    <w:rsid w:val="00905245"/>
    <w:rsid w:val="00907C41"/>
    <w:rsid w:val="00911BF7"/>
    <w:rsid w:val="009132EF"/>
    <w:rsid w:val="00915627"/>
    <w:rsid w:val="0092178D"/>
    <w:rsid w:val="00927DA1"/>
    <w:rsid w:val="00941172"/>
    <w:rsid w:val="009449BB"/>
    <w:rsid w:val="009478E4"/>
    <w:rsid w:val="00950D51"/>
    <w:rsid w:val="00964347"/>
    <w:rsid w:val="00974F2B"/>
    <w:rsid w:val="00977EC8"/>
    <w:rsid w:val="00981C83"/>
    <w:rsid w:val="00993B4B"/>
    <w:rsid w:val="009A0E2F"/>
    <w:rsid w:val="009B035F"/>
    <w:rsid w:val="009B5609"/>
    <w:rsid w:val="009C040D"/>
    <w:rsid w:val="009C35FD"/>
    <w:rsid w:val="009C3EE6"/>
    <w:rsid w:val="009C5D20"/>
    <w:rsid w:val="009C5EC1"/>
    <w:rsid w:val="009D2E9C"/>
    <w:rsid w:val="009D34DC"/>
    <w:rsid w:val="009D3A8C"/>
    <w:rsid w:val="009D5289"/>
    <w:rsid w:val="009E0A33"/>
    <w:rsid w:val="009E100C"/>
    <w:rsid w:val="009E7956"/>
    <w:rsid w:val="009F1ADD"/>
    <w:rsid w:val="009F3086"/>
    <w:rsid w:val="009F43AB"/>
    <w:rsid w:val="009F450E"/>
    <w:rsid w:val="009F61A6"/>
    <w:rsid w:val="00A0268F"/>
    <w:rsid w:val="00A05AF2"/>
    <w:rsid w:val="00A10025"/>
    <w:rsid w:val="00A101DD"/>
    <w:rsid w:val="00A10EFB"/>
    <w:rsid w:val="00A11580"/>
    <w:rsid w:val="00A14DD9"/>
    <w:rsid w:val="00A2492E"/>
    <w:rsid w:val="00A33E95"/>
    <w:rsid w:val="00A43F03"/>
    <w:rsid w:val="00A52B11"/>
    <w:rsid w:val="00A609AF"/>
    <w:rsid w:val="00A63BBD"/>
    <w:rsid w:val="00A644E6"/>
    <w:rsid w:val="00A655CF"/>
    <w:rsid w:val="00A774B2"/>
    <w:rsid w:val="00A82666"/>
    <w:rsid w:val="00A94A4E"/>
    <w:rsid w:val="00A950D5"/>
    <w:rsid w:val="00AA094B"/>
    <w:rsid w:val="00AA4614"/>
    <w:rsid w:val="00AA5E22"/>
    <w:rsid w:val="00AA658D"/>
    <w:rsid w:val="00AC28D6"/>
    <w:rsid w:val="00AC47AD"/>
    <w:rsid w:val="00AC5A84"/>
    <w:rsid w:val="00AC7977"/>
    <w:rsid w:val="00AD1365"/>
    <w:rsid w:val="00AE22FF"/>
    <w:rsid w:val="00AE352C"/>
    <w:rsid w:val="00AE4E68"/>
    <w:rsid w:val="00AE5964"/>
    <w:rsid w:val="00AE74E1"/>
    <w:rsid w:val="00AE7A9C"/>
    <w:rsid w:val="00AF0CBD"/>
    <w:rsid w:val="00AF1BA8"/>
    <w:rsid w:val="00AF4E47"/>
    <w:rsid w:val="00AF7DAD"/>
    <w:rsid w:val="00B10DF1"/>
    <w:rsid w:val="00B133D8"/>
    <w:rsid w:val="00B165A9"/>
    <w:rsid w:val="00B166BE"/>
    <w:rsid w:val="00B17C69"/>
    <w:rsid w:val="00B20550"/>
    <w:rsid w:val="00B2195B"/>
    <w:rsid w:val="00B26DD0"/>
    <w:rsid w:val="00B278CC"/>
    <w:rsid w:val="00B305CF"/>
    <w:rsid w:val="00B32E2D"/>
    <w:rsid w:val="00B366EC"/>
    <w:rsid w:val="00B41432"/>
    <w:rsid w:val="00B429C4"/>
    <w:rsid w:val="00B4417F"/>
    <w:rsid w:val="00B45557"/>
    <w:rsid w:val="00B55277"/>
    <w:rsid w:val="00B6085C"/>
    <w:rsid w:val="00B61687"/>
    <w:rsid w:val="00B61990"/>
    <w:rsid w:val="00B61E08"/>
    <w:rsid w:val="00B62E64"/>
    <w:rsid w:val="00B62F0F"/>
    <w:rsid w:val="00B63A0D"/>
    <w:rsid w:val="00B64E59"/>
    <w:rsid w:val="00B7560E"/>
    <w:rsid w:val="00B759B9"/>
    <w:rsid w:val="00B75EB6"/>
    <w:rsid w:val="00B80E45"/>
    <w:rsid w:val="00B80E67"/>
    <w:rsid w:val="00B8716A"/>
    <w:rsid w:val="00BA073E"/>
    <w:rsid w:val="00BA184E"/>
    <w:rsid w:val="00BA200B"/>
    <w:rsid w:val="00BA398B"/>
    <w:rsid w:val="00BB0EA6"/>
    <w:rsid w:val="00BB458A"/>
    <w:rsid w:val="00BB4EA1"/>
    <w:rsid w:val="00BC2D7D"/>
    <w:rsid w:val="00BC7D90"/>
    <w:rsid w:val="00BE28D3"/>
    <w:rsid w:val="00BF0556"/>
    <w:rsid w:val="00C005CD"/>
    <w:rsid w:val="00C0137F"/>
    <w:rsid w:val="00C04E03"/>
    <w:rsid w:val="00C129DA"/>
    <w:rsid w:val="00C1500A"/>
    <w:rsid w:val="00C15E6B"/>
    <w:rsid w:val="00C16549"/>
    <w:rsid w:val="00C22C9B"/>
    <w:rsid w:val="00C261F8"/>
    <w:rsid w:val="00C317E1"/>
    <w:rsid w:val="00C33BD1"/>
    <w:rsid w:val="00C402D5"/>
    <w:rsid w:val="00C4429F"/>
    <w:rsid w:val="00C5504A"/>
    <w:rsid w:val="00C575E1"/>
    <w:rsid w:val="00C6160F"/>
    <w:rsid w:val="00C62FA7"/>
    <w:rsid w:val="00C637B2"/>
    <w:rsid w:val="00C6508E"/>
    <w:rsid w:val="00C717E0"/>
    <w:rsid w:val="00C721C1"/>
    <w:rsid w:val="00C730B6"/>
    <w:rsid w:val="00C744DD"/>
    <w:rsid w:val="00C76B88"/>
    <w:rsid w:val="00C919A2"/>
    <w:rsid w:val="00C96414"/>
    <w:rsid w:val="00C969B5"/>
    <w:rsid w:val="00CA04BE"/>
    <w:rsid w:val="00CA0FB6"/>
    <w:rsid w:val="00CA515D"/>
    <w:rsid w:val="00CB082A"/>
    <w:rsid w:val="00CB08AD"/>
    <w:rsid w:val="00CB11B6"/>
    <w:rsid w:val="00CB1AB3"/>
    <w:rsid w:val="00CB1DC5"/>
    <w:rsid w:val="00CB3B76"/>
    <w:rsid w:val="00CB6203"/>
    <w:rsid w:val="00CB769F"/>
    <w:rsid w:val="00CB7A66"/>
    <w:rsid w:val="00CC656A"/>
    <w:rsid w:val="00CC6B85"/>
    <w:rsid w:val="00CC6E3B"/>
    <w:rsid w:val="00CD1A71"/>
    <w:rsid w:val="00CD1C48"/>
    <w:rsid w:val="00CD1FBB"/>
    <w:rsid w:val="00CD6A79"/>
    <w:rsid w:val="00CE5AB1"/>
    <w:rsid w:val="00CE5AFE"/>
    <w:rsid w:val="00CE73E2"/>
    <w:rsid w:val="00CF1ADD"/>
    <w:rsid w:val="00D01485"/>
    <w:rsid w:val="00D016B5"/>
    <w:rsid w:val="00D034F1"/>
    <w:rsid w:val="00D037E5"/>
    <w:rsid w:val="00D129E4"/>
    <w:rsid w:val="00D14C67"/>
    <w:rsid w:val="00D17170"/>
    <w:rsid w:val="00D20A92"/>
    <w:rsid w:val="00D23005"/>
    <w:rsid w:val="00D27D5E"/>
    <w:rsid w:val="00D30C56"/>
    <w:rsid w:val="00D34CC9"/>
    <w:rsid w:val="00D37AAF"/>
    <w:rsid w:val="00D42E42"/>
    <w:rsid w:val="00D46481"/>
    <w:rsid w:val="00D516CF"/>
    <w:rsid w:val="00D52717"/>
    <w:rsid w:val="00D5427E"/>
    <w:rsid w:val="00D54C17"/>
    <w:rsid w:val="00D61012"/>
    <w:rsid w:val="00D62E07"/>
    <w:rsid w:val="00D63C7E"/>
    <w:rsid w:val="00D650CF"/>
    <w:rsid w:val="00D66E8D"/>
    <w:rsid w:val="00D7557D"/>
    <w:rsid w:val="00D83081"/>
    <w:rsid w:val="00D94BD5"/>
    <w:rsid w:val="00D951CB"/>
    <w:rsid w:val="00DA7B1C"/>
    <w:rsid w:val="00DB2697"/>
    <w:rsid w:val="00DB45AA"/>
    <w:rsid w:val="00DC06A8"/>
    <w:rsid w:val="00DC20DD"/>
    <w:rsid w:val="00DC45DF"/>
    <w:rsid w:val="00DC7F6A"/>
    <w:rsid w:val="00DD3DB3"/>
    <w:rsid w:val="00DD46FA"/>
    <w:rsid w:val="00DD55E8"/>
    <w:rsid w:val="00DE6D90"/>
    <w:rsid w:val="00DE708E"/>
    <w:rsid w:val="00DF002F"/>
    <w:rsid w:val="00E0244D"/>
    <w:rsid w:val="00E03672"/>
    <w:rsid w:val="00E14018"/>
    <w:rsid w:val="00E1415D"/>
    <w:rsid w:val="00E176EA"/>
    <w:rsid w:val="00E23913"/>
    <w:rsid w:val="00E2686C"/>
    <w:rsid w:val="00E27723"/>
    <w:rsid w:val="00E35AE2"/>
    <w:rsid w:val="00E37D2C"/>
    <w:rsid w:val="00E4697F"/>
    <w:rsid w:val="00E5152E"/>
    <w:rsid w:val="00E51B5A"/>
    <w:rsid w:val="00E568D0"/>
    <w:rsid w:val="00E616C8"/>
    <w:rsid w:val="00E656F6"/>
    <w:rsid w:val="00E657C8"/>
    <w:rsid w:val="00E70DD6"/>
    <w:rsid w:val="00E749CD"/>
    <w:rsid w:val="00E74D2B"/>
    <w:rsid w:val="00E815C7"/>
    <w:rsid w:val="00E8188D"/>
    <w:rsid w:val="00E81E94"/>
    <w:rsid w:val="00E82607"/>
    <w:rsid w:val="00E82A3B"/>
    <w:rsid w:val="00E8497D"/>
    <w:rsid w:val="00E84E8C"/>
    <w:rsid w:val="00E9121D"/>
    <w:rsid w:val="00E9181A"/>
    <w:rsid w:val="00EA4C6C"/>
    <w:rsid w:val="00EA7947"/>
    <w:rsid w:val="00EB5349"/>
    <w:rsid w:val="00EB582B"/>
    <w:rsid w:val="00EC1263"/>
    <w:rsid w:val="00EC6EE1"/>
    <w:rsid w:val="00EC7796"/>
    <w:rsid w:val="00ED2A7C"/>
    <w:rsid w:val="00EE093D"/>
    <w:rsid w:val="00EE62D7"/>
    <w:rsid w:val="00EE6F5A"/>
    <w:rsid w:val="00EF1016"/>
    <w:rsid w:val="00EF327E"/>
    <w:rsid w:val="00F0141B"/>
    <w:rsid w:val="00F10927"/>
    <w:rsid w:val="00F12173"/>
    <w:rsid w:val="00F13DD1"/>
    <w:rsid w:val="00F17C66"/>
    <w:rsid w:val="00F22103"/>
    <w:rsid w:val="00F27404"/>
    <w:rsid w:val="00F3444B"/>
    <w:rsid w:val="00F34BEC"/>
    <w:rsid w:val="00F356C3"/>
    <w:rsid w:val="00F44622"/>
    <w:rsid w:val="00F552B5"/>
    <w:rsid w:val="00F55E1E"/>
    <w:rsid w:val="00F604B7"/>
    <w:rsid w:val="00F6159F"/>
    <w:rsid w:val="00F61A93"/>
    <w:rsid w:val="00F71235"/>
    <w:rsid w:val="00F71F90"/>
    <w:rsid w:val="00F7303F"/>
    <w:rsid w:val="00F76023"/>
    <w:rsid w:val="00F8027A"/>
    <w:rsid w:val="00F8122D"/>
    <w:rsid w:val="00F82BFC"/>
    <w:rsid w:val="00F83C9B"/>
    <w:rsid w:val="00F86250"/>
    <w:rsid w:val="00F914CD"/>
    <w:rsid w:val="00F91FDB"/>
    <w:rsid w:val="00F93A0C"/>
    <w:rsid w:val="00FA0E84"/>
    <w:rsid w:val="00FA2656"/>
    <w:rsid w:val="00FA2DE0"/>
    <w:rsid w:val="00FA5A79"/>
    <w:rsid w:val="00FB0BFE"/>
    <w:rsid w:val="00FB0DAA"/>
    <w:rsid w:val="00FB473F"/>
    <w:rsid w:val="00FB4C51"/>
    <w:rsid w:val="00FB697A"/>
    <w:rsid w:val="00FB7DE2"/>
    <w:rsid w:val="00FC3302"/>
    <w:rsid w:val="00FC652B"/>
    <w:rsid w:val="00FD07B0"/>
    <w:rsid w:val="00FD0B14"/>
    <w:rsid w:val="00FD3F65"/>
    <w:rsid w:val="00FD6E08"/>
    <w:rsid w:val="00FE3300"/>
    <w:rsid w:val="00FE33B8"/>
    <w:rsid w:val="00FE72DD"/>
    <w:rsid w:val="00FF1DBD"/>
    <w:rsid w:val="00FF1F6F"/>
    <w:rsid w:val="00FF26F3"/>
    <w:rsid w:val="00FF2F09"/>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0F7"/>
    <w:pPr>
      <w:suppressAutoHyphens/>
      <w:spacing w:line="240" w:lineRule="atLeast"/>
    </w:pPr>
    <w:rPr>
      <w:lang w:val="fr-CH"/>
    </w:rPr>
  </w:style>
  <w:style w:type="paragraph" w:styleId="Titre1">
    <w:name w:val="heading 1"/>
    <w:aliases w:val="Table_G"/>
    <w:basedOn w:val="SingleTxtG"/>
    <w:next w:val="SingleTxtG"/>
    <w:qFormat/>
    <w:rsid w:val="00217DB9"/>
    <w:pPr>
      <w:keepNext/>
      <w:keepLines/>
      <w:spacing w:after="0" w:line="240" w:lineRule="auto"/>
      <w:ind w:right="0"/>
      <w:jc w:val="left"/>
      <w:outlineLvl w:val="0"/>
    </w:pPr>
  </w:style>
  <w:style w:type="paragraph" w:styleId="Titre2">
    <w:name w:val="heading 2"/>
    <w:basedOn w:val="Normal"/>
    <w:next w:val="Normal"/>
    <w:qFormat/>
    <w:rsid w:val="007D30F7"/>
    <w:pPr>
      <w:outlineLvl w:val="1"/>
    </w:pPr>
  </w:style>
  <w:style w:type="paragraph" w:styleId="Titre3">
    <w:name w:val="heading 3"/>
    <w:basedOn w:val="Normal"/>
    <w:next w:val="Normal"/>
    <w:qFormat/>
    <w:rsid w:val="007D30F7"/>
    <w:pPr>
      <w:outlineLvl w:val="2"/>
    </w:pPr>
  </w:style>
  <w:style w:type="paragraph" w:styleId="Titre4">
    <w:name w:val="heading 4"/>
    <w:basedOn w:val="Normal"/>
    <w:next w:val="Normal"/>
    <w:qFormat/>
    <w:rsid w:val="007D30F7"/>
    <w:pPr>
      <w:outlineLvl w:val="3"/>
    </w:pPr>
  </w:style>
  <w:style w:type="paragraph" w:styleId="Titre5">
    <w:name w:val="heading 5"/>
    <w:basedOn w:val="Normal"/>
    <w:next w:val="Normal"/>
    <w:qFormat/>
    <w:rsid w:val="007D30F7"/>
    <w:pPr>
      <w:outlineLvl w:val="4"/>
    </w:pPr>
  </w:style>
  <w:style w:type="paragraph" w:styleId="Titre6">
    <w:name w:val="heading 6"/>
    <w:basedOn w:val="Normal"/>
    <w:next w:val="Normal"/>
    <w:qFormat/>
    <w:rsid w:val="007D30F7"/>
    <w:pPr>
      <w:outlineLvl w:val="5"/>
    </w:pPr>
  </w:style>
  <w:style w:type="paragraph" w:styleId="Titre7">
    <w:name w:val="heading 7"/>
    <w:basedOn w:val="Normal"/>
    <w:next w:val="Normal"/>
    <w:qFormat/>
    <w:rsid w:val="007D30F7"/>
    <w:pPr>
      <w:outlineLvl w:val="6"/>
    </w:pPr>
  </w:style>
  <w:style w:type="paragraph" w:styleId="Titre8">
    <w:name w:val="heading 8"/>
    <w:basedOn w:val="Normal"/>
    <w:next w:val="Normal"/>
    <w:qFormat/>
    <w:rsid w:val="007D30F7"/>
    <w:pPr>
      <w:outlineLvl w:val="7"/>
    </w:pPr>
  </w:style>
  <w:style w:type="paragraph" w:styleId="Titre9">
    <w:name w:val="heading 9"/>
    <w:basedOn w:val="Normal"/>
    <w:next w:val="Normal"/>
    <w:qFormat/>
    <w:rsid w:val="007D30F7"/>
    <w:pPr>
      <w:outlineLvl w:val="8"/>
    </w:pPr>
  </w:style>
  <w:style w:type="character" w:default="1" w:styleId="Policepardfaut">
    <w:name w:val="Default Paragraph Font"/>
    <w:semiHidden/>
    <w:rsid w:val="007D30F7"/>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7D30F7"/>
  </w:style>
  <w:style w:type="paragraph" w:customStyle="1" w:styleId="HMG">
    <w:name w:val="_ H __M_G"/>
    <w:basedOn w:val="Normal"/>
    <w:next w:val="Normal"/>
    <w:rsid w:val="007D30F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7D30F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D30F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D30F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D30F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D30F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D30F7"/>
    <w:pPr>
      <w:spacing w:after="120"/>
      <w:ind w:left="1134" w:right="1134"/>
      <w:jc w:val="both"/>
    </w:pPr>
  </w:style>
  <w:style w:type="paragraph" w:customStyle="1" w:styleId="SLG">
    <w:name w:val="__S_L_G"/>
    <w:basedOn w:val="Normal"/>
    <w:next w:val="Normal"/>
    <w:rsid w:val="007D30F7"/>
    <w:pPr>
      <w:keepNext/>
      <w:keepLines/>
      <w:spacing w:before="240" w:after="240" w:line="580" w:lineRule="exact"/>
      <w:ind w:left="1134" w:right="1134"/>
    </w:pPr>
    <w:rPr>
      <w:b/>
      <w:sz w:val="56"/>
    </w:rPr>
  </w:style>
  <w:style w:type="paragraph" w:customStyle="1" w:styleId="SMG">
    <w:name w:val="__S_M_G"/>
    <w:basedOn w:val="Normal"/>
    <w:next w:val="Normal"/>
    <w:rsid w:val="007D30F7"/>
    <w:pPr>
      <w:keepNext/>
      <w:keepLines/>
      <w:spacing w:before="240" w:after="240" w:line="420" w:lineRule="exact"/>
      <w:ind w:left="1134" w:right="1134"/>
    </w:pPr>
    <w:rPr>
      <w:b/>
      <w:sz w:val="40"/>
    </w:rPr>
  </w:style>
  <w:style w:type="paragraph" w:customStyle="1" w:styleId="SSG">
    <w:name w:val="__S_S_G"/>
    <w:basedOn w:val="Normal"/>
    <w:next w:val="Normal"/>
    <w:rsid w:val="007D30F7"/>
    <w:pPr>
      <w:keepNext/>
      <w:keepLines/>
      <w:spacing w:before="240" w:after="240" w:line="300" w:lineRule="exact"/>
      <w:ind w:left="1134" w:right="1134"/>
    </w:pPr>
    <w:rPr>
      <w:b/>
      <w:sz w:val="28"/>
    </w:rPr>
  </w:style>
  <w:style w:type="paragraph" w:customStyle="1" w:styleId="XLargeG">
    <w:name w:val="__XLarge_G"/>
    <w:basedOn w:val="Normal"/>
    <w:next w:val="Normal"/>
    <w:rsid w:val="007D30F7"/>
    <w:pPr>
      <w:keepNext/>
      <w:keepLines/>
      <w:spacing w:before="240" w:after="240" w:line="420" w:lineRule="exact"/>
      <w:ind w:left="1134" w:right="1134"/>
    </w:pPr>
    <w:rPr>
      <w:b/>
      <w:sz w:val="40"/>
    </w:rPr>
  </w:style>
  <w:style w:type="paragraph" w:customStyle="1" w:styleId="Bullet1G">
    <w:name w:val="_Bullet 1_G"/>
    <w:basedOn w:val="Normal"/>
    <w:rsid w:val="007D30F7"/>
    <w:pPr>
      <w:numPr>
        <w:numId w:val="18"/>
      </w:numPr>
      <w:spacing w:after="120"/>
      <w:ind w:right="1134"/>
      <w:jc w:val="both"/>
    </w:pPr>
  </w:style>
  <w:style w:type="paragraph" w:customStyle="1" w:styleId="Bullet2G">
    <w:name w:val="_Bullet 2_G"/>
    <w:basedOn w:val="Normal"/>
    <w:rsid w:val="007D30F7"/>
    <w:pPr>
      <w:numPr>
        <w:numId w:val="19"/>
      </w:numPr>
      <w:spacing w:after="120"/>
      <w:ind w:right="1134"/>
      <w:jc w:val="both"/>
    </w:pPr>
  </w:style>
  <w:style w:type="character" w:styleId="Appelnotedebasdep">
    <w:name w:val="footnote reference"/>
    <w:aliases w:val="4_G"/>
    <w:uiPriority w:val="99"/>
    <w:rsid w:val="007D30F7"/>
    <w:rPr>
      <w:rFonts w:ascii="Times New Roman" w:hAnsi="Times New Roman"/>
      <w:sz w:val="18"/>
      <w:vertAlign w:val="superscript"/>
      <w:lang w:val="fr-CH"/>
    </w:rPr>
  </w:style>
  <w:style w:type="character" w:styleId="Appeldenotedefin">
    <w:name w:val="endnote reference"/>
    <w:aliases w:val="1_G"/>
    <w:basedOn w:val="Appelnotedebasdep"/>
    <w:rsid w:val="007D30F7"/>
    <w:rPr>
      <w:rFonts w:ascii="Times New Roman" w:hAnsi="Times New Roman"/>
      <w:sz w:val="18"/>
      <w:vertAlign w:val="superscript"/>
      <w:lang w:val="fr-CH"/>
    </w:rPr>
  </w:style>
  <w:style w:type="paragraph" w:styleId="En-tte">
    <w:name w:val="header"/>
    <w:aliases w:val="6_G"/>
    <w:basedOn w:val="Normal"/>
    <w:next w:val="Normal"/>
    <w:rsid w:val="007D30F7"/>
    <w:pPr>
      <w:pBdr>
        <w:bottom w:val="single" w:sz="4" w:space="4" w:color="auto"/>
      </w:pBdr>
      <w:spacing w:line="240" w:lineRule="auto"/>
    </w:pPr>
    <w:rPr>
      <w:b/>
      <w:sz w:val="18"/>
    </w:rPr>
  </w:style>
  <w:style w:type="paragraph" w:styleId="Notedebasdepage">
    <w:name w:val="footnote text"/>
    <w:aliases w:val="5_G"/>
    <w:basedOn w:val="Normal"/>
    <w:link w:val="NotedebasdepageCar"/>
    <w:rsid w:val="00F22103"/>
    <w:pPr>
      <w:tabs>
        <w:tab w:val="right" w:pos="1021"/>
      </w:tabs>
      <w:spacing w:line="220" w:lineRule="exact"/>
      <w:ind w:left="1134" w:right="1134" w:hanging="1134"/>
    </w:pPr>
    <w:rPr>
      <w:sz w:val="18"/>
    </w:rPr>
  </w:style>
  <w:style w:type="paragraph" w:styleId="Notedefin">
    <w:name w:val="endnote text"/>
    <w:aliases w:val="2_G"/>
    <w:basedOn w:val="Notedebasdepage"/>
    <w:rsid w:val="00F22103"/>
  </w:style>
  <w:style w:type="character" w:styleId="Numrodepage">
    <w:name w:val="page number"/>
    <w:aliases w:val="7_G"/>
    <w:rsid w:val="007D30F7"/>
    <w:rPr>
      <w:rFonts w:ascii="Times New Roman" w:hAnsi="Times New Roman"/>
      <w:b/>
      <w:sz w:val="18"/>
      <w:lang w:val="fr-CH"/>
    </w:rPr>
  </w:style>
  <w:style w:type="paragraph" w:styleId="Pieddepage">
    <w:name w:val="footer"/>
    <w:aliases w:val="3_G"/>
    <w:basedOn w:val="Normal"/>
    <w:next w:val="Normal"/>
    <w:link w:val="PieddepageCar"/>
    <w:uiPriority w:val="99"/>
    <w:rsid w:val="007D30F7"/>
    <w:pPr>
      <w:spacing w:line="240" w:lineRule="auto"/>
    </w:pPr>
    <w:rPr>
      <w:sz w:val="16"/>
    </w:rPr>
  </w:style>
  <w:style w:type="character" w:styleId="Lienhypertexte">
    <w:name w:val="Hyperlink"/>
    <w:rsid w:val="00503619"/>
    <w:rPr>
      <w:color w:val="auto"/>
      <w:u w:val="none"/>
    </w:rPr>
  </w:style>
  <w:style w:type="character" w:styleId="Lienhypertextesuivivisit">
    <w:name w:val="FollowedHyperlink"/>
    <w:rsid w:val="00503619"/>
    <w:rPr>
      <w:color w:val="auto"/>
      <w:u w:val="none"/>
    </w:rPr>
  </w:style>
  <w:style w:type="paragraph" w:customStyle="1" w:styleId="ParNoG">
    <w:name w:val="_ParNo_G"/>
    <w:basedOn w:val="SingleTxtG"/>
    <w:link w:val="ParNoGChar"/>
    <w:rsid w:val="009D34DC"/>
    <w:pPr>
      <w:numPr>
        <w:numId w:val="20"/>
      </w:numPr>
    </w:pPr>
  </w:style>
  <w:style w:type="table" w:styleId="Grilledutableau">
    <w:name w:val="Table Grid"/>
    <w:basedOn w:val="TableauNormal"/>
    <w:rsid w:val="00896FB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6048C6"/>
    <w:pPr>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styleId="TM2">
    <w:name w:val="toc 2"/>
    <w:basedOn w:val="Normal"/>
    <w:next w:val="Normal"/>
    <w:autoRedefine/>
    <w:uiPriority w:val="39"/>
    <w:unhideWhenUsed/>
    <w:qFormat/>
    <w:rsid w:val="0025323A"/>
    <w:pPr>
      <w:suppressAutoHyphens w:val="0"/>
      <w:spacing w:after="100" w:line="276" w:lineRule="auto"/>
      <w:ind w:left="220"/>
    </w:pPr>
    <w:rPr>
      <w:rFonts w:eastAsia="MS Mincho" w:cs="Arial"/>
      <w:szCs w:val="22"/>
      <w:lang w:val="en-US" w:eastAsia="ja-JP"/>
    </w:rPr>
  </w:style>
  <w:style w:type="paragraph" w:styleId="TM1">
    <w:name w:val="toc 1"/>
    <w:basedOn w:val="Normal"/>
    <w:next w:val="Normal"/>
    <w:autoRedefine/>
    <w:uiPriority w:val="39"/>
    <w:unhideWhenUsed/>
    <w:qFormat/>
    <w:rsid w:val="0025323A"/>
    <w:pPr>
      <w:tabs>
        <w:tab w:val="left" w:pos="440"/>
        <w:tab w:val="left" w:pos="8222"/>
        <w:tab w:val="right" w:leader="dot" w:pos="9629"/>
      </w:tabs>
      <w:suppressAutoHyphens w:val="0"/>
      <w:spacing w:after="100" w:line="276" w:lineRule="auto"/>
    </w:pPr>
    <w:rPr>
      <w:rFonts w:eastAsia="MS Mincho" w:cs="Arial"/>
      <w:szCs w:val="22"/>
      <w:lang w:val="en-US" w:eastAsia="ja-JP"/>
    </w:rPr>
  </w:style>
  <w:style w:type="paragraph" w:styleId="TM3">
    <w:name w:val="toc 3"/>
    <w:basedOn w:val="Normal"/>
    <w:next w:val="Normal"/>
    <w:autoRedefine/>
    <w:uiPriority w:val="39"/>
    <w:unhideWhenUsed/>
    <w:qFormat/>
    <w:rsid w:val="006048C6"/>
    <w:pPr>
      <w:suppressAutoHyphens w:val="0"/>
      <w:spacing w:after="100" w:line="276" w:lineRule="auto"/>
      <w:ind w:left="440"/>
    </w:pPr>
    <w:rPr>
      <w:rFonts w:ascii="Calibri" w:eastAsia="MS Mincho" w:hAnsi="Calibri" w:cs="Arial"/>
      <w:sz w:val="22"/>
      <w:szCs w:val="22"/>
      <w:lang w:val="en-US" w:eastAsia="ja-JP"/>
    </w:rPr>
  </w:style>
  <w:style w:type="paragraph" w:styleId="Textedebulles">
    <w:name w:val="Balloon Text"/>
    <w:basedOn w:val="Normal"/>
    <w:link w:val="TextedebullesCar"/>
    <w:rsid w:val="006048C6"/>
    <w:pPr>
      <w:spacing w:line="240" w:lineRule="auto"/>
    </w:pPr>
    <w:rPr>
      <w:rFonts w:ascii="Tahoma" w:hAnsi="Tahoma" w:cs="Tahoma"/>
      <w:sz w:val="16"/>
      <w:szCs w:val="16"/>
    </w:rPr>
  </w:style>
  <w:style w:type="character" w:customStyle="1" w:styleId="TextedebullesCar">
    <w:name w:val="Texte de bulles Car"/>
    <w:link w:val="Textedebulles"/>
    <w:rsid w:val="006048C6"/>
    <w:rPr>
      <w:rFonts w:ascii="Tahoma" w:hAnsi="Tahoma" w:cs="Tahoma"/>
      <w:sz w:val="16"/>
      <w:szCs w:val="16"/>
      <w:lang w:val="fr-CH" w:eastAsia="en-US"/>
    </w:rPr>
  </w:style>
  <w:style w:type="paragraph" w:customStyle="1" w:styleId="Style1">
    <w:name w:val="Style1"/>
    <w:basedOn w:val="HChG"/>
    <w:link w:val="Style1Char"/>
    <w:qFormat/>
    <w:rsid w:val="000C247D"/>
    <w:pPr>
      <w:numPr>
        <w:numId w:val="21"/>
      </w:numPr>
      <w:tabs>
        <w:tab w:val="clear" w:pos="851"/>
      </w:tabs>
      <w:outlineLvl w:val="0"/>
    </w:pPr>
    <w:rPr>
      <w:lang w:val="fr-CA"/>
    </w:rPr>
  </w:style>
  <w:style w:type="paragraph" w:customStyle="1" w:styleId="Style2">
    <w:name w:val="Style2"/>
    <w:basedOn w:val="ParNoG"/>
    <w:link w:val="Style2Char"/>
    <w:qFormat/>
    <w:rsid w:val="000C247D"/>
    <w:pPr>
      <w:numPr>
        <w:ilvl w:val="1"/>
        <w:numId w:val="21"/>
      </w:numPr>
      <w:outlineLvl w:val="1"/>
    </w:pPr>
    <w:rPr>
      <w:b/>
      <w:sz w:val="24"/>
      <w:lang w:val="fr-CA"/>
    </w:rPr>
  </w:style>
  <w:style w:type="character" w:customStyle="1" w:styleId="HChGChar">
    <w:name w:val="_ H _Ch_G Char"/>
    <w:link w:val="HChG"/>
    <w:rsid w:val="000C247D"/>
    <w:rPr>
      <w:b/>
      <w:sz w:val="28"/>
      <w:lang w:val="fr-CH" w:eastAsia="en-US"/>
    </w:rPr>
  </w:style>
  <w:style w:type="character" w:customStyle="1" w:styleId="Style1Char">
    <w:name w:val="Style1 Char"/>
    <w:basedOn w:val="HChGChar"/>
    <w:link w:val="Style1"/>
    <w:rsid w:val="000C247D"/>
    <w:rPr>
      <w:b/>
      <w:sz w:val="28"/>
      <w:lang w:val="fr-CH" w:eastAsia="en-US"/>
    </w:rPr>
  </w:style>
  <w:style w:type="character" w:customStyle="1" w:styleId="NotedebasdepageCar">
    <w:name w:val="Note de bas de page Car"/>
    <w:aliases w:val="5_G Car"/>
    <w:link w:val="Notedebasdepage"/>
    <w:rsid w:val="00BA073E"/>
    <w:rPr>
      <w:sz w:val="18"/>
      <w:lang w:val="fr-CH" w:eastAsia="en-US"/>
    </w:rPr>
  </w:style>
  <w:style w:type="character" w:customStyle="1" w:styleId="SingleTxtGChar">
    <w:name w:val="_ Single Txt_G Char"/>
    <w:link w:val="SingleTxtG"/>
    <w:rsid w:val="000C247D"/>
    <w:rPr>
      <w:lang w:val="fr-CH" w:eastAsia="en-US"/>
    </w:rPr>
  </w:style>
  <w:style w:type="character" w:customStyle="1" w:styleId="ParNoGChar">
    <w:name w:val="_ParNo_G Char"/>
    <w:basedOn w:val="SingleTxtGChar"/>
    <w:link w:val="ParNoG"/>
    <w:rsid w:val="000C247D"/>
    <w:rPr>
      <w:lang w:val="fr-CH" w:eastAsia="en-US"/>
    </w:rPr>
  </w:style>
  <w:style w:type="character" w:customStyle="1" w:styleId="Style2Char">
    <w:name w:val="Style2 Char"/>
    <w:link w:val="Style2"/>
    <w:rsid w:val="000C247D"/>
    <w:rPr>
      <w:b/>
      <w:sz w:val="24"/>
      <w:lang w:val="fr-CH" w:eastAsia="en-US"/>
    </w:rPr>
  </w:style>
  <w:style w:type="character" w:customStyle="1" w:styleId="PieddepageCar">
    <w:name w:val="Pied de page Car"/>
    <w:basedOn w:val="Policepardfaut"/>
    <w:link w:val="Pieddepage"/>
    <w:uiPriority w:val="99"/>
    <w:rsid w:val="00C721C1"/>
    <w:rPr>
      <w:sz w:val="16"/>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0F7"/>
    <w:pPr>
      <w:suppressAutoHyphens/>
      <w:spacing w:line="240" w:lineRule="atLeast"/>
    </w:pPr>
    <w:rPr>
      <w:lang w:val="fr-CH"/>
    </w:rPr>
  </w:style>
  <w:style w:type="paragraph" w:styleId="Titre1">
    <w:name w:val="heading 1"/>
    <w:aliases w:val="Table_G"/>
    <w:basedOn w:val="SingleTxtG"/>
    <w:next w:val="SingleTxtG"/>
    <w:qFormat/>
    <w:rsid w:val="00217DB9"/>
    <w:pPr>
      <w:keepNext/>
      <w:keepLines/>
      <w:spacing w:after="0" w:line="240" w:lineRule="auto"/>
      <w:ind w:right="0"/>
      <w:jc w:val="left"/>
      <w:outlineLvl w:val="0"/>
    </w:pPr>
  </w:style>
  <w:style w:type="paragraph" w:styleId="Titre2">
    <w:name w:val="heading 2"/>
    <w:basedOn w:val="Normal"/>
    <w:next w:val="Normal"/>
    <w:qFormat/>
    <w:rsid w:val="007D30F7"/>
    <w:pPr>
      <w:outlineLvl w:val="1"/>
    </w:pPr>
  </w:style>
  <w:style w:type="paragraph" w:styleId="Titre3">
    <w:name w:val="heading 3"/>
    <w:basedOn w:val="Normal"/>
    <w:next w:val="Normal"/>
    <w:qFormat/>
    <w:rsid w:val="007D30F7"/>
    <w:pPr>
      <w:outlineLvl w:val="2"/>
    </w:pPr>
  </w:style>
  <w:style w:type="paragraph" w:styleId="Titre4">
    <w:name w:val="heading 4"/>
    <w:basedOn w:val="Normal"/>
    <w:next w:val="Normal"/>
    <w:qFormat/>
    <w:rsid w:val="007D30F7"/>
    <w:pPr>
      <w:outlineLvl w:val="3"/>
    </w:pPr>
  </w:style>
  <w:style w:type="paragraph" w:styleId="Titre5">
    <w:name w:val="heading 5"/>
    <w:basedOn w:val="Normal"/>
    <w:next w:val="Normal"/>
    <w:qFormat/>
    <w:rsid w:val="007D30F7"/>
    <w:pPr>
      <w:outlineLvl w:val="4"/>
    </w:pPr>
  </w:style>
  <w:style w:type="paragraph" w:styleId="Titre6">
    <w:name w:val="heading 6"/>
    <w:basedOn w:val="Normal"/>
    <w:next w:val="Normal"/>
    <w:qFormat/>
    <w:rsid w:val="007D30F7"/>
    <w:pPr>
      <w:outlineLvl w:val="5"/>
    </w:pPr>
  </w:style>
  <w:style w:type="paragraph" w:styleId="Titre7">
    <w:name w:val="heading 7"/>
    <w:basedOn w:val="Normal"/>
    <w:next w:val="Normal"/>
    <w:qFormat/>
    <w:rsid w:val="007D30F7"/>
    <w:pPr>
      <w:outlineLvl w:val="6"/>
    </w:pPr>
  </w:style>
  <w:style w:type="paragraph" w:styleId="Titre8">
    <w:name w:val="heading 8"/>
    <w:basedOn w:val="Normal"/>
    <w:next w:val="Normal"/>
    <w:qFormat/>
    <w:rsid w:val="007D30F7"/>
    <w:pPr>
      <w:outlineLvl w:val="7"/>
    </w:pPr>
  </w:style>
  <w:style w:type="paragraph" w:styleId="Titre9">
    <w:name w:val="heading 9"/>
    <w:basedOn w:val="Normal"/>
    <w:next w:val="Normal"/>
    <w:qFormat/>
    <w:rsid w:val="007D30F7"/>
    <w:pPr>
      <w:outlineLvl w:val="8"/>
    </w:pPr>
  </w:style>
  <w:style w:type="character" w:default="1" w:styleId="Policepardfaut">
    <w:name w:val="Default Paragraph Font"/>
    <w:semiHidden/>
    <w:rsid w:val="007D30F7"/>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7D30F7"/>
  </w:style>
  <w:style w:type="paragraph" w:customStyle="1" w:styleId="HMG">
    <w:name w:val="_ H __M_G"/>
    <w:basedOn w:val="Normal"/>
    <w:next w:val="Normal"/>
    <w:rsid w:val="007D30F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7D30F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D30F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D30F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D30F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D30F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D30F7"/>
    <w:pPr>
      <w:spacing w:after="120"/>
      <w:ind w:left="1134" w:right="1134"/>
      <w:jc w:val="both"/>
    </w:pPr>
  </w:style>
  <w:style w:type="paragraph" w:customStyle="1" w:styleId="SLG">
    <w:name w:val="__S_L_G"/>
    <w:basedOn w:val="Normal"/>
    <w:next w:val="Normal"/>
    <w:rsid w:val="007D30F7"/>
    <w:pPr>
      <w:keepNext/>
      <w:keepLines/>
      <w:spacing w:before="240" w:after="240" w:line="580" w:lineRule="exact"/>
      <w:ind w:left="1134" w:right="1134"/>
    </w:pPr>
    <w:rPr>
      <w:b/>
      <w:sz w:val="56"/>
    </w:rPr>
  </w:style>
  <w:style w:type="paragraph" w:customStyle="1" w:styleId="SMG">
    <w:name w:val="__S_M_G"/>
    <w:basedOn w:val="Normal"/>
    <w:next w:val="Normal"/>
    <w:rsid w:val="007D30F7"/>
    <w:pPr>
      <w:keepNext/>
      <w:keepLines/>
      <w:spacing w:before="240" w:after="240" w:line="420" w:lineRule="exact"/>
      <w:ind w:left="1134" w:right="1134"/>
    </w:pPr>
    <w:rPr>
      <w:b/>
      <w:sz w:val="40"/>
    </w:rPr>
  </w:style>
  <w:style w:type="paragraph" w:customStyle="1" w:styleId="SSG">
    <w:name w:val="__S_S_G"/>
    <w:basedOn w:val="Normal"/>
    <w:next w:val="Normal"/>
    <w:rsid w:val="007D30F7"/>
    <w:pPr>
      <w:keepNext/>
      <w:keepLines/>
      <w:spacing w:before="240" w:after="240" w:line="300" w:lineRule="exact"/>
      <w:ind w:left="1134" w:right="1134"/>
    </w:pPr>
    <w:rPr>
      <w:b/>
      <w:sz w:val="28"/>
    </w:rPr>
  </w:style>
  <w:style w:type="paragraph" w:customStyle="1" w:styleId="XLargeG">
    <w:name w:val="__XLarge_G"/>
    <w:basedOn w:val="Normal"/>
    <w:next w:val="Normal"/>
    <w:rsid w:val="007D30F7"/>
    <w:pPr>
      <w:keepNext/>
      <w:keepLines/>
      <w:spacing w:before="240" w:after="240" w:line="420" w:lineRule="exact"/>
      <w:ind w:left="1134" w:right="1134"/>
    </w:pPr>
    <w:rPr>
      <w:b/>
      <w:sz w:val="40"/>
    </w:rPr>
  </w:style>
  <w:style w:type="paragraph" w:customStyle="1" w:styleId="Bullet1G">
    <w:name w:val="_Bullet 1_G"/>
    <w:basedOn w:val="Normal"/>
    <w:rsid w:val="007D30F7"/>
    <w:pPr>
      <w:numPr>
        <w:numId w:val="18"/>
      </w:numPr>
      <w:spacing w:after="120"/>
      <w:ind w:right="1134"/>
      <w:jc w:val="both"/>
    </w:pPr>
  </w:style>
  <w:style w:type="paragraph" w:customStyle="1" w:styleId="Bullet2G">
    <w:name w:val="_Bullet 2_G"/>
    <w:basedOn w:val="Normal"/>
    <w:rsid w:val="007D30F7"/>
    <w:pPr>
      <w:numPr>
        <w:numId w:val="19"/>
      </w:numPr>
      <w:spacing w:after="120"/>
      <w:ind w:right="1134"/>
      <w:jc w:val="both"/>
    </w:pPr>
  </w:style>
  <w:style w:type="character" w:styleId="Appelnotedebasdep">
    <w:name w:val="footnote reference"/>
    <w:aliases w:val="4_G"/>
    <w:uiPriority w:val="99"/>
    <w:rsid w:val="007D30F7"/>
    <w:rPr>
      <w:rFonts w:ascii="Times New Roman" w:hAnsi="Times New Roman"/>
      <w:sz w:val="18"/>
      <w:vertAlign w:val="superscript"/>
      <w:lang w:val="fr-CH"/>
    </w:rPr>
  </w:style>
  <w:style w:type="character" w:styleId="Appeldenotedefin">
    <w:name w:val="endnote reference"/>
    <w:aliases w:val="1_G"/>
    <w:basedOn w:val="Appelnotedebasdep"/>
    <w:rsid w:val="007D30F7"/>
    <w:rPr>
      <w:rFonts w:ascii="Times New Roman" w:hAnsi="Times New Roman"/>
      <w:sz w:val="18"/>
      <w:vertAlign w:val="superscript"/>
      <w:lang w:val="fr-CH"/>
    </w:rPr>
  </w:style>
  <w:style w:type="paragraph" w:styleId="En-tte">
    <w:name w:val="header"/>
    <w:aliases w:val="6_G"/>
    <w:basedOn w:val="Normal"/>
    <w:next w:val="Normal"/>
    <w:rsid w:val="007D30F7"/>
    <w:pPr>
      <w:pBdr>
        <w:bottom w:val="single" w:sz="4" w:space="4" w:color="auto"/>
      </w:pBdr>
      <w:spacing w:line="240" w:lineRule="auto"/>
    </w:pPr>
    <w:rPr>
      <w:b/>
      <w:sz w:val="18"/>
    </w:rPr>
  </w:style>
  <w:style w:type="paragraph" w:styleId="Notedebasdepage">
    <w:name w:val="footnote text"/>
    <w:aliases w:val="5_G"/>
    <w:basedOn w:val="Normal"/>
    <w:link w:val="NotedebasdepageCar"/>
    <w:rsid w:val="00F22103"/>
    <w:pPr>
      <w:tabs>
        <w:tab w:val="right" w:pos="1021"/>
      </w:tabs>
      <w:spacing w:line="220" w:lineRule="exact"/>
      <w:ind w:left="1134" w:right="1134" w:hanging="1134"/>
    </w:pPr>
    <w:rPr>
      <w:sz w:val="18"/>
    </w:rPr>
  </w:style>
  <w:style w:type="paragraph" w:styleId="Notedefin">
    <w:name w:val="endnote text"/>
    <w:aliases w:val="2_G"/>
    <w:basedOn w:val="Notedebasdepage"/>
    <w:rsid w:val="00F22103"/>
  </w:style>
  <w:style w:type="character" w:styleId="Numrodepage">
    <w:name w:val="page number"/>
    <w:aliases w:val="7_G"/>
    <w:rsid w:val="007D30F7"/>
    <w:rPr>
      <w:rFonts w:ascii="Times New Roman" w:hAnsi="Times New Roman"/>
      <w:b/>
      <w:sz w:val="18"/>
      <w:lang w:val="fr-CH"/>
    </w:rPr>
  </w:style>
  <w:style w:type="paragraph" w:styleId="Pieddepage">
    <w:name w:val="footer"/>
    <w:aliases w:val="3_G"/>
    <w:basedOn w:val="Normal"/>
    <w:next w:val="Normal"/>
    <w:link w:val="PieddepageCar"/>
    <w:uiPriority w:val="99"/>
    <w:rsid w:val="007D30F7"/>
    <w:pPr>
      <w:spacing w:line="240" w:lineRule="auto"/>
    </w:pPr>
    <w:rPr>
      <w:sz w:val="16"/>
    </w:rPr>
  </w:style>
  <w:style w:type="character" w:styleId="Lienhypertexte">
    <w:name w:val="Hyperlink"/>
    <w:rsid w:val="00503619"/>
    <w:rPr>
      <w:color w:val="auto"/>
      <w:u w:val="none"/>
    </w:rPr>
  </w:style>
  <w:style w:type="character" w:styleId="Lienhypertextesuivivisit">
    <w:name w:val="FollowedHyperlink"/>
    <w:rsid w:val="00503619"/>
    <w:rPr>
      <w:color w:val="auto"/>
      <w:u w:val="none"/>
    </w:rPr>
  </w:style>
  <w:style w:type="paragraph" w:customStyle="1" w:styleId="ParNoG">
    <w:name w:val="_ParNo_G"/>
    <w:basedOn w:val="SingleTxtG"/>
    <w:link w:val="ParNoGChar"/>
    <w:rsid w:val="009D34DC"/>
    <w:pPr>
      <w:numPr>
        <w:numId w:val="20"/>
      </w:numPr>
    </w:pPr>
  </w:style>
  <w:style w:type="table" w:styleId="Grilledutableau">
    <w:name w:val="Table Grid"/>
    <w:basedOn w:val="TableauNormal"/>
    <w:rsid w:val="00896FB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6048C6"/>
    <w:pPr>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styleId="TM2">
    <w:name w:val="toc 2"/>
    <w:basedOn w:val="Normal"/>
    <w:next w:val="Normal"/>
    <w:autoRedefine/>
    <w:uiPriority w:val="39"/>
    <w:unhideWhenUsed/>
    <w:qFormat/>
    <w:rsid w:val="0025323A"/>
    <w:pPr>
      <w:suppressAutoHyphens w:val="0"/>
      <w:spacing w:after="100" w:line="276" w:lineRule="auto"/>
      <w:ind w:left="220"/>
    </w:pPr>
    <w:rPr>
      <w:rFonts w:eastAsia="MS Mincho" w:cs="Arial"/>
      <w:szCs w:val="22"/>
      <w:lang w:val="en-US" w:eastAsia="ja-JP"/>
    </w:rPr>
  </w:style>
  <w:style w:type="paragraph" w:styleId="TM1">
    <w:name w:val="toc 1"/>
    <w:basedOn w:val="Normal"/>
    <w:next w:val="Normal"/>
    <w:autoRedefine/>
    <w:uiPriority w:val="39"/>
    <w:unhideWhenUsed/>
    <w:qFormat/>
    <w:rsid w:val="0025323A"/>
    <w:pPr>
      <w:tabs>
        <w:tab w:val="left" w:pos="440"/>
        <w:tab w:val="left" w:pos="8222"/>
        <w:tab w:val="right" w:leader="dot" w:pos="9629"/>
      </w:tabs>
      <w:suppressAutoHyphens w:val="0"/>
      <w:spacing w:after="100" w:line="276" w:lineRule="auto"/>
    </w:pPr>
    <w:rPr>
      <w:rFonts w:eastAsia="MS Mincho" w:cs="Arial"/>
      <w:szCs w:val="22"/>
      <w:lang w:val="en-US" w:eastAsia="ja-JP"/>
    </w:rPr>
  </w:style>
  <w:style w:type="paragraph" w:styleId="TM3">
    <w:name w:val="toc 3"/>
    <w:basedOn w:val="Normal"/>
    <w:next w:val="Normal"/>
    <w:autoRedefine/>
    <w:uiPriority w:val="39"/>
    <w:unhideWhenUsed/>
    <w:qFormat/>
    <w:rsid w:val="006048C6"/>
    <w:pPr>
      <w:suppressAutoHyphens w:val="0"/>
      <w:spacing w:after="100" w:line="276" w:lineRule="auto"/>
      <w:ind w:left="440"/>
    </w:pPr>
    <w:rPr>
      <w:rFonts w:ascii="Calibri" w:eastAsia="MS Mincho" w:hAnsi="Calibri" w:cs="Arial"/>
      <w:sz w:val="22"/>
      <w:szCs w:val="22"/>
      <w:lang w:val="en-US" w:eastAsia="ja-JP"/>
    </w:rPr>
  </w:style>
  <w:style w:type="paragraph" w:styleId="Textedebulles">
    <w:name w:val="Balloon Text"/>
    <w:basedOn w:val="Normal"/>
    <w:link w:val="TextedebullesCar"/>
    <w:rsid w:val="006048C6"/>
    <w:pPr>
      <w:spacing w:line="240" w:lineRule="auto"/>
    </w:pPr>
    <w:rPr>
      <w:rFonts w:ascii="Tahoma" w:hAnsi="Tahoma" w:cs="Tahoma"/>
      <w:sz w:val="16"/>
      <w:szCs w:val="16"/>
    </w:rPr>
  </w:style>
  <w:style w:type="character" w:customStyle="1" w:styleId="TextedebullesCar">
    <w:name w:val="Texte de bulles Car"/>
    <w:link w:val="Textedebulles"/>
    <w:rsid w:val="006048C6"/>
    <w:rPr>
      <w:rFonts w:ascii="Tahoma" w:hAnsi="Tahoma" w:cs="Tahoma"/>
      <w:sz w:val="16"/>
      <w:szCs w:val="16"/>
      <w:lang w:val="fr-CH" w:eastAsia="en-US"/>
    </w:rPr>
  </w:style>
  <w:style w:type="paragraph" w:customStyle="1" w:styleId="Style1">
    <w:name w:val="Style1"/>
    <w:basedOn w:val="HChG"/>
    <w:link w:val="Style1Char"/>
    <w:qFormat/>
    <w:rsid w:val="000C247D"/>
    <w:pPr>
      <w:numPr>
        <w:numId w:val="21"/>
      </w:numPr>
      <w:tabs>
        <w:tab w:val="clear" w:pos="851"/>
      </w:tabs>
      <w:outlineLvl w:val="0"/>
    </w:pPr>
    <w:rPr>
      <w:lang w:val="fr-CA"/>
    </w:rPr>
  </w:style>
  <w:style w:type="paragraph" w:customStyle="1" w:styleId="Style2">
    <w:name w:val="Style2"/>
    <w:basedOn w:val="ParNoG"/>
    <w:link w:val="Style2Char"/>
    <w:qFormat/>
    <w:rsid w:val="000C247D"/>
    <w:pPr>
      <w:numPr>
        <w:ilvl w:val="1"/>
        <w:numId w:val="21"/>
      </w:numPr>
      <w:outlineLvl w:val="1"/>
    </w:pPr>
    <w:rPr>
      <w:b/>
      <w:sz w:val="24"/>
      <w:lang w:val="fr-CA"/>
    </w:rPr>
  </w:style>
  <w:style w:type="character" w:customStyle="1" w:styleId="HChGChar">
    <w:name w:val="_ H _Ch_G Char"/>
    <w:link w:val="HChG"/>
    <w:rsid w:val="000C247D"/>
    <w:rPr>
      <w:b/>
      <w:sz w:val="28"/>
      <w:lang w:val="fr-CH" w:eastAsia="en-US"/>
    </w:rPr>
  </w:style>
  <w:style w:type="character" w:customStyle="1" w:styleId="Style1Char">
    <w:name w:val="Style1 Char"/>
    <w:basedOn w:val="HChGChar"/>
    <w:link w:val="Style1"/>
    <w:rsid w:val="000C247D"/>
    <w:rPr>
      <w:b/>
      <w:sz w:val="28"/>
      <w:lang w:val="fr-CH" w:eastAsia="en-US"/>
    </w:rPr>
  </w:style>
  <w:style w:type="character" w:customStyle="1" w:styleId="NotedebasdepageCar">
    <w:name w:val="Note de bas de page Car"/>
    <w:aliases w:val="5_G Car"/>
    <w:link w:val="Notedebasdepage"/>
    <w:rsid w:val="00BA073E"/>
    <w:rPr>
      <w:sz w:val="18"/>
      <w:lang w:val="fr-CH" w:eastAsia="en-US"/>
    </w:rPr>
  </w:style>
  <w:style w:type="character" w:customStyle="1" w:styleId="SingleTxtGChar">
    <w:name w:val="_ Single Txt_G Char"/>
    <w:link w:val="SingleTxtG"/>
    <w:rsid w:val="000C247D"/>
    <w:rPr>
      <w:lang w:val="fr-CH" w:eastAsia="en-US"/>
    </w:rPr>
  </w:style>
  <w:style w:type="character" w:customStyle="1" w:styleId="ParNoGChar">
    <w:name w:val="_ParNo_G Char"/>
    <w:basedOn w:val="SingleTxtGChar"/>
    <w:link w:val="ParNoG"/>
    <w:rsid w:val="000C247D"/>
    <w:rPr>
      <w:lang w:val="fr-CH" w:eastAsia="en-US"/>
    </w:rPr>
  </w:style>
  <w:style w:type="character" w:customStyle="1" w:styleId="Style2Char">
    <w:name w:val="Style2 Char"/>
    <w:link w:val="Style2"/>
    <w:rsid w:val="000C247D"/>
    <w:rPr>
      <w:b/>
      <w:sz w:val="24"/>
      <w:lang w:val="fr-CH" w:eastAsia="en-US"/>
    </w:rPr>
  </w:style>
  <w:style w:type="character" w:customStyle="1" w:styleId="PieddepageCar">
    <w:name w:val="Pied de page Car"/>
    <w:basedOn w:val="Policepardfaut"/>
    <w:link w:val="Pieddepage"/>
    <w:uiPriority w:val="99"/>
    <w:rsid w:val="00C721C1"/>
    <w:rPr>
      <w:sz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A_HR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AB92-7B0B-4DCC-90B8-474A0E9E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A_HRC.dot</Template>
  <TotalTime>16</TotalTime>
  <Pages>18</Pages>
  <Words>8282</Words>
  <Characters>48952</Characters>
  <Application>Microsoft Office Word</Application>
  <DocSecurity>0</DocSecurity>
  <Lines>1041</Lines>
  <Paragraphs>561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annuel du Haut-Commissaire des Nations Unies aux droits de l’homme</vt:lpstr>
      <vt:lpstr>Rapport annuel du Haut-Commissaire des Nations Unies aux droits de l’homme</vt:lpstr>
    </vt:vector>
  </TitlesOfParts>
  <Company>CSD</Company>
  <LinksUpToDate>false</LinksUpToDate>
  <CharactersWithSpaces>56673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Haut-Commissaire des Nations Unies aux droits de l’homme</dc:title>
  <dc:creator>VIGNY</dc:creator>
  <cp:lastModifiedBy>Nath V.</cp:lastModifiedBy>
  <cp:revision>5</cp:revision>
  <cp:lastPrinted>2015-05-26T15:04:00Z</cp:lastPrinted>
  <dcterms:created xsi:type="dcterms:W3CDTF">2015-05-26T15:04:00Z</dcterms:created>
  <dcterms:modified xsi:type="dcterms:W3CDTF">2015-05-26T15:23:00Z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SourceUrl">
    <vt:lpwstr/>
  </property>
  <property fmtid="{D5CDD505-2E9C-101B-9397-08002B2CF9AE}" pid="12" name="_SharedFileIndex">
    <vt:lpwstr/>
  </property>
</Properties>
</file>