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135" w:tblpY="568"/>
        <w:tblOverlap w:val="never"/>
        <w:tblW w:w="9639" w:type="dxa"/>
        <w:tblLayout w:type="fixed"/>
        <w:tblCellMar>
          <w:left w:w="0" w:type="dxa"/>
          <w:right w:w="0" w:type="dxa"/>
        </w:tblCellMar>
        <w:tblLook w:val="01E0"/>
      </w:tblPr>
      <w:tblGrid>
        <w:gridCol w:w="1280"/>
        <w:gridCol w:w="2273"/>
        <w:gridCol w:w="3267"/>
        <w:gridCol w:w="2819"/>
      </w:tblGrid>
      <w:tr w:rsidR="00A1364C" w:rsidRPr="00F124C6" w:rsidTr="005A4798">
        <w:trPr>
          <w:trHeight w:hRule="exact" w:val="851"/>
        </w:trPr>
        <w:tc>
          <w:tcPr>
            <w:tcW w:w="1280" w:type="dxa"/>
            <w:tcBorders>
              <w:bottom w:val="single" w:sz="4" w:space="0" w:color="auto"/>
            </w:tcBorders>
          </w:tcPr>
          <w:p w:rsidR="00A1364C" w:rsidRPr="00F124C6" w:rsidRDefault="00A1364C" w:rsidP="003C0C9C">
            <w:pPr>
              <w:spacing w:before="360" w:after="240" w:line="240" w:lineRule="atLeast"/>
            </w:pPr>
            <w:bookmarkStart w:id="0" w:name="_GoBack"/>
            <w:bookmarkEnd w:id="0"/>
          </w:p>
        </w:tc>
        <w:tc>
          <w:tcPr>
            <w:tcW w:w="2273" w:type="dxa"/>
            <w:tcBorders>
              <w:bottom w:val="single" w:sz="4" w:space="0" w:color="auto"/>
            </w:tcBorders>
            <w:vAlign w:val="bottom"/>
          </w:tcPr>
          <w:p w:rsidR="00A1364C" w:rsidRPr="006428AB" w:rsidRDefault="00A1364C" w:rsidP="005A4798">
            <w:pPr>
              <w:spacing w:after="80" w:line="300" w:lineRule="exact"/>
              <w:rPr>
                <w:rFonts w:ascii="Time New Roman" w:eastAsia="SimHei" w:hAnsi="Time New Roman" w:hint="eastAsia"/>
                <w:sz w:val="28"/>
              </w:rPr>
            </w:pPr>
            <w:r w:rsidRPr="006428AB">
              <w:rPr>
                <w:rFonts w:ascii="SimSun" w:eastAsia="SimHei" w:hAnsi="SimSun" w:cs="SimSun" w:hint="eastAsia"/>
                <w:sz w:val="28"/>
              </w:rPr>
              <w:t>联</w:t>
            </w:r>
            <w:r w:rsidRPr="006428AB">
              <w:rPr>
                <w:rFonts w:ascii="Time New Roman" w:eastAsia="SimHei" w:hAnsi="Time New Roman" w:hint="eastAsia"/>
                <w:sz w:val="28"/>
              </w:rPr>
              <w:t xml:space="preserve"> </w:t>
            </w:r>
            <w:r w:rsidRPr="006428AB">
              <w:rPr>
                <w:rFonts w:ascii="SimSun" w:eastAsia="SimHei" w:hAnsi="SimSun" w:cs="SimSun" w:hint="eastAsia"/>
                <w:sz w:val="28"/>
              </w:rPr>
              <w:t>合</w:t>
            </w:r>
            <w:r w:rsidRPr="006428AB">
              <w:rPr>
                <w:rFonts w:ascii="Time New Roman" w:eastAsia="SimHei" w:hAnsi="Time New Roman" w:hint="eastAsia"/>
                <w:sz w:val="28"/>
              </w:rPr>
              <w:t xml:space="preserve"> </w:t>
            </w:r>
            <w:r w:rsidRPr="006428AB">
              <w:rPr>
                <w:rFonts w:ascii="SimSun" w:eastAsia="SimHei" w:hAnsi="SimSun" w:cs="SimSun" w:hint="eastAsia"/>
                <w:sz w:val="28"/>
              </w:rPr>
              <w:t>国</w:t>
            </w:r>
          </w:p>
        </w:tc>
        <w:tc>
          <w:tcPr>
            <w:tcW w:w="6086" w:type="dxa"/>
            <w:gridSpan w:val="2"/>
            <w:tcBorders>
              <w:bottom w:val="single" w:sz="4" w:space="0" w:color="auto"/>
            </w:tcBorders>
            <w:vAlign w:val="bottom"/>
          </w:tcPr>
          <w:p w:rsidR="00A1364C" w:rsidRPr="00244AF4" w:rsidRDefault="004527D5" w:rsidP="005A4798">
            <w:pPr>
              <w:spacing w:line="240" w:lineRule="atLeast"/>
              <w:jc w:val="right"/>
              <w:rPr>
                <w:sz w:val="20"/>
                <w:szCs w:val="21"/>
              </w:rPr>
            </w:pPr>
            <w:r>
              <w:rPr>
                <w:sz w:val="40"/>
                <w:szCs w:val="21"/>
              </w:rPr>
              <w:t>A</w:t>
            </w:r>
            <w:r>
              <w:rPr>
                <w:sz w:val="20"/>
                <w:szCs w:val="21"/>
              </w:rPr>
              <w:t>/HRC/31/66</w:t>
            </w:r>
          </w:p>
        </w:tc>
      </w:tr>
      <w:tr w:rsidR="00A1364C" w:rsidRPr="00F124C6" w:rsidTr="005A4798">
        <w:trPr>
          <w:trHeight w:hRule="exact" w:val="2835"/>
        </w:trPr>
        <w:tc>
          <w:tcPr>
            <w:tcW w:w="1280" w:type="dxa"/>
            <w:tcBorders>
              <w:top w:val="single" w:sz="4" w:space="0" w:color="auto"/>
              <w:bottom w:val="single" w:sz="12" w:space="0" w:color="auto"/>
            </w:tcBorders>
          </w:tcPr>
          <w:p w:rsidR="00A1364C" w:rsidRPr="00F124C6" w:rsidRDefault="00A1364C" w:rsidP="005A4798">
            <w:pPr>
              <w:spacing w:line="120" w:lineRule="atLeast"/>
              <w:rPr>
                <w:sz w:val="10"/>
                <w:szCs w:val="10"/>
              </w:rPr>
            </w:pPr>
          </w:p>
          <w:p w:rsidR="00A1364C" w:rsidRPr="00F124C6" w:rsidRDefault="00A1364C" w:rsidP="005A4798">
            <w:pPr>
              <w:spacing w:line="120" w:lineRule="atLeast"/>
              <w:rPr>
                <w:sz w:val="10"/>
                <w:szCs w:val="10"/>
              </w:rPr>
            </w:pPr>
            <w:r>
              <w:rPr>
                <w:rFonts w:hint="eastAsia"/>
                <w:noProof/>
                <w:snapToGrid/>
                <w:lang w:eastAsia="en-US"/>
              </w:rPr>
              <w:drawing>
                <wp:inline distT="0" distB="0" distL="0" distR="0">
                  <wp:extent cx="712470" cy="591820"/>
                  <wp:effectExtent l="0" t="0" r="0" b="0"/>
                  <wp:docPr id="1" name="图片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_unlogo"/>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2470" cy="591820"/>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A1364C" w:rsidRPr="006428AB" w:rsidRDefault="00A1364C" w:rsidP="005A4798">
            <w:pPr>
              <w:spacing w:before="240" w:line="420" w:lineRule="exact"/>
              <w:rPr>
                <w:rFonts w:ascii="Time New Roman" w:eastAsia="SimHei" w:hAnsi="Time New Roman" w:hint="eastAsia"/>
                <w:sz w:val="40"/>
                <w:szCs w:val="40"/>
              </w:rPr>
            </w:pPr>
            <w:r w:rsidRPr="006428AB">
              <w:rPr>
                <w:rFonts w:ascii="SimSun" w:eastAsia="SimHei" w:hAnsi="SimSun" w:cs="SimSun" w:hint="eastAsia"/>
                <w:sz w:val="40"/>
                <w:szCs w:val="40"/>
              </w:rPr>
              <w:t>大</w:t>
            </w:r>
            <w:r w:rsidRPr="006428AB">
              <w:rPr>
                <w:rFonts w:ascii="Time New Roman" w:eastAsia="SimHei" w:hAnsi="Time New Roman" w:hint="eastAsia"/>
                <w:sz w:val="40"/>
                <w:szCs w:val="40"/>
              </w:rPr>
              <w:t xml:space="preserve">  </w:t>
            </w:r>
            <w:r w:rsidRPr="006428AB">
              <w:rPr>
                <w:rFonts w:ascii="SimSun" w:eastAsia="SimHei" w:hAnsi="SimSun" w:cs="SimSun" w:hint="eastAsia"/>
                <w:sz w:val="40"/>
                <w:szCs w:val="40"/>
              </w:rPr>
              <w:t>会</w:t>
            </w:r>
          </w:p>
        </w:tc>
        <w:tc>
          <w:tcPr>
            <w:tcW w:w="2819" w:type="dxa"/>
            <w:tcBorders>
              <w:top w:val="single" w:sz="4" w:space="0" w:color="auto"/>
              <w:bottom w:val="single" w:sz="12" w:space="0" w:color="auto"/>
            </w:tcBorders>
          </w:tcPr>
          <w:p w:rsidR="00A1364C" w:rsidRPr="00F124C6" w:rsidRDefault="004527D5" w:rsidP="005A4798">
            <w:pPr>
              <w:spacing w:before="240" w:line="240" w:lineRule="atLeast"/>
              <w:rPr>
                <w:sz w:val="20"/>
              </w:rPr>
            </w:pPr>
            <w:r>
              <w:rPr>
                <w:sz w:val="20"/>
              </w:rPr>
              <w:t xml:space="preserve">Distr.: </w:t>
            </w:r>
            <w:r>
              <w:t>General</w:t>
            </w:r>
          </w:p>
          <w:p w:rsidR="00A1364C" w:rsidRPr="00F124C6" w:rsidRDefault="004527D5" w:rsidP="00244AF4">
            <w:pPr>
              <w:spacing w:line="240" w:lineRule="atLeast"/>
              <w:rPr>
                <w:sz w:val="20"/>
              </w:rPr>
            </w:pPr>
            <w:r>
              <w:rPr>
                <w:rFonts w:hint="eastAsia"/>
                <w:sz w:val="20"/>
              </w:rPr>
              <w:t>4</w:t>
            </w:r>
            <w:r w:rsidR="00244AF4">
              <w:rPr>
                <w:rFonts w:hint="eastAsia"/>
                <w:sz w:val="20"/>
              </w:rPr>
              <w:t xml:space="preserve"> </w:t>
            </w:r>
            <w:r>
              <w:t>February</w:t>
            </w:r>
            <w:r w:rsidR="00244AF4">
              <w:rPr>
                <w:sz w:val="20"/>
              </w:rPr>
              <w:t xml:space="preserve"> </w:t>
            </w:r>
            <w:r>
              <w:rPr>
                <w:sz w:val="20"/>
              </w:rPr>
              <w:t>2</w:t>
            </w:r>
            <w:r w:rsidR="008B4347">
              <w:rPr>
                <w:sz w:val="20"/>
              </w:rPr>
              <w:t>0</w:t>
            </w:r>
            <w:r>
              <w:rPr>
                <w:sz w:val="20"/>
              </w:rPr>
              <w:t>16</w:t>
            </w:r>
          </w:p>
          <w:p w:rsidR="00A1364C" w:rsidRPr="00F124C6" w:rsidRDefault="004527D5" w:rsidP="005A4798">
            <w:pPr>
              <w:spacing w:line="240" w:lineRule="atLeast"/>
              <w:rPr>
                <w:sz w:val="20"/>
              </w:rPr>
            </w:pPr>
            <w:r>
              <w:rPr>
                <w:sz w:val="20"/>
              </w:rPr>
              <w:t>Chinese</w:t>
            </w:r>
          </w:p>
          <w:p w:rsidR="00A1364C" w:rsidRPr="00F124C6" w:rsidRDefault="004527D5" w:rsidP="005A4798">
            <w:pPr>
              <w:spacing w:line="240" w:lineRule="atLeast"/>
            </w:pPr>
            <w:r>
              <w:rPr>
                <w:sz w:val="20"/>
              </w:rPr>
              <w:t>Original: English</w:t>
            </w:r>
          </w:p>
        </w:tc>
      </w:tr>
    </w:tbl>
    <w:p w:rsidR="00244AF4" w:rsidRDefault="00244AF4" w:rsidP="00C7253F">
      <w:pPr>
        <w:spacing w:before="120"/>
        <w:rPr>
          <w:rFonts w:eastAsia="SimHei"/>
          <w:sz w:val="24"/>
          <w:szCs w:val="24"/>
          <w:lang w:val="fr-CH"/>
        </w:rPr>
      </w:pPr>
      <w:r>
        <w:rPr>
          <w:rFonts w:eastAsia="SimHei" w:hint="eastAsia"/>
          <w:sz w:val="24"/>
          <w:szCs w:val="24"/>
          <w:lang w:val="fr-CH"/>
        </w:rPr>
        <w:t>人权理事会</w:t>
      </w:r>
    </w:p>
    <w:p w:rsidR="00244AF4" w:rsidRDefault="00244AF4" w:rsidP="00244AF4">
      <w:pPr>
        <w:rPr>
          <w:rFonts w:eastAsia="SimHei"/>
          <w:szCs w:val="21"/>
          <w:lang w:val="fr-CH"/>
        </w:rPr>
      </w:pPr>
      <w:r w:rsidRPr="00244AF4">
        <w:rPr>
          <w:rFonts w:eastAsia="SimHei" w:hint="eastAsia"/>
          <w:bCs/>
          <w:szCs w:val="21"/>
          <w:lang w:val="en-GB"/>
        </w:rPr>
        <w:t>第三十一届会议</w:t>
      </w:r>
    </w:p>
    <w:p w:rsidR="00244AF4" w:rsidRDefault="00244AF4" w:rsidP="00C7253F">
      <w:pPr>
        <w:rPr>
          <w:lang w:val="en-GB"/>
        </w:rPr>
      </w:pPr>
      <w:r w:rsidRPr="00244AF4">
        <w:rPr>
          <w:rFonts w:hint="eastAsia"/>
          <w:lang w:val="en-GB"/>
        </w:rPr>
        <w:t>议程项目</w:t>
      </w:r>
      <w:r w:rsidR="004527D5">
        <w:rPr>
          <w:lang w:val="en-GB"/>
        </w:rPr>
        <w:t>3</w:t>
      </w:r>
    </w:p>
    <w:p w:rsidR="00244AF4" w:rsidRPr="00244AF4" w:rsidRDefault="00244AF4" w:rsidP="00244AF4">
      <w:pPr>
        <w:rPr>
          <w:rFonts w:eastAsia="SimHei"/>
          <w:lang w:val="en-GB"/>
        </w:rPr>
      </w:pPr>
      <w:r>
        <w:rPr>
          <w:rFonts w:eastAsia="SimHei" w:hint="eastAsia"/>
          <w:lang w:val="en-GB"/>
        </w:rPr>
        <w:t>增进和保护所有人权</w:t>
      </w:r>
      <w:r w:rsidR="006A5AF9" w:rsidRPr="006A5AF9">
        <w:rPr>
          <w:rFonts w:eastAsia="SimHei" w:hint="eastAsia"/>
          <w:spacing w:val="-50"/>
          <w:lang w:val="en-GB"/>
        </w:rPr>
        <w:t>―</w:t>
      </w:r>
      <w:r w:rsidR="006A5AF9" w:rsidRPr="006A5AF9">
        <w:rPr>
          <w:rFonts w:eastAsia="SimHei" w:hint="eastAsia"/>
          <w:lang w:val="en-GB"/>
        </w:rPr>
        <w:t>―</w:t>
      </w:r>
      <w:r w:rsidRPr="00244AF4">
        <w:rPr>
          <w:rFonts w:eastAsia="SimHei" w:hint="eastAsia"/>
          <w:lang w:val="en-GB"/>
        </w:rPr>
        <w:t>公民权利、政治权利、</w:t>
      </w:r>
      <w:r>
        <w:rPr>
          <w:rFonts w:eastAsia="SimHei"/>
          <w:lang w:val="en-GB"/>
        </w:rPr>
        <w:br/>
      </w:r>
      <w:r w:rsidRPr="00244AF4">
        <w:rPr>
          <w:rFonts w:eastAsia="SimHei" w:hint="eastAsia"/>
          <w:lang w:val="en-GB"/>
        </w:rPr>
        <w:t>经济、社会和文化权利</w:t>
      </w:r>
      <w:r w:rsidR="004527D5">
        <w:rPr>
          <w:rFonts w:eastAsia="SimHei" w:hint="eastAsia"/>
          <w:lang w:val="en-GB"/>
        </w:rPr>
        <w:t>，</w:t>
      </w:r>
      <w:r w:rsidRPr="00244AF4">
        <w:rPr>
          <w:rFonts w:eastAsia="SimHei" w:hint="eastAsia"/>
          <w:lang w:val="en-GB"/>
        </w:rPr>
        <w:t>包括发展权</w:t>
      </w:r>
    </w:p>
    <w:p w:rsidR="00244AF4" w:rsidRPr="00244AF4" w:rsidRDefault="00244AF4" w:rsidP="00D06CEA">
      <w:pPr>
        <w:pStyle w:val="HChGC"/>
        <w:rPr>
          <w:lang w:val="en-GB"/>
        </w:rPr>
      </w:pPr>
      <w:r w:rsidRPr="00244AF4">
        <w:rPr>
          <w:lang w:val="en-GB"/>
        </w:rPr>
        <w:tab/>
      </w:r>
      <w:r w:rsidRPr="00244AF4">
        <w:rPr>
          <w:lang w:val="en-GB"/>
        </w:rPr>
        <w:tab/>
      </w:r>
      <w:r w:rsidRPr="00244AF4">
        <w:rPr>
          <w:rFonts w:hint="eastAsia"/>
          <w:lang w:val="en-GB"/>
        </w:rPr>
        <w:t>和平集会和结社自由权利问题特别报告员及法外处决、即审即决或任意处决问题特别报告员关于适当管理集会问题的联合报告</w:t>
      </w:r>
    </w:p>
    <w:p w:rsidR="00244AF4" w:rsidRPr="00244AF4" w:rsidRDefault="00244AF4" w:rsidP="00D06CEA">
      <w:pPr>
        <w:pStyle w:val="H1GC"/>
        <w:rPr>
          <w:lang w:val="en-GB"/>
        </w:rPr>
      </w:pPr>
      <w:r w:rsidRPr="00244AF4">
        <w:rPr>
          <w:lang w:val="en-GB"/>
        </w:rPr>
        <w:tab/>
      </w:r>
      <w:r w:rsidRPr="00244AF4">
        <w:rPr>
          <w:lang w:val="en-GB"/>
        </w:rPr>
        <w:tab/>
      </w:r>
      <w:r w:rsidRPr="00244AF4">
        <w:rPr>
          <w:rFonts w:hint="eastAsia"/>
          <w:lang w:val="en-GB"/>
        </w:rPr>
        <w:t>秘书处的说明</w:t>
      </w:r>
    </w:p>
    <w:p w:rsidR="00244AF4" w:rsidRPr="00244AF4" w:rsidRDefault="00D06CEA" w:rsidP="00D06CEA">
      <w:pPr>
        <w:pStyle w:val="SingleTxtGC"/>
        <w:rPr>
          <w:lang w:val="en-GB"/>
        </w:rPr>
      </w:pPr>
      <w:r>
        <w:rPr>
          <w:rFonts w:hint="eastAsia"/>
          <w:lang w:val="en-GB"/>
        </w:rPr>
        <w:tab/>
      </w:r>
      <w:r w:rsidR="00244AF4" w:rsidRPr="00244AF4">
        <w:rPr>
          <w:rFonts w:hint="eastAsia"/>
          <w:lang w:val="en-GB"/>
        </w:rPr>
        <w:t>秘书处谨向人权理事会转交和平集会和结社自由权利问题特别报告员马伊纳</w:t>
      </w:r>
      <w:r w:rsidR="003C70F0">
        <w:rPr>
          <w:rFonts w:hint="eastAsia"/>
          <w:lang w:val="en-GB"/>
        </w:rPr>
        <w:t>·</w:t>
      </w:r>
      <w:r>
        <w:rPr>
          <w:rFonts w:hint="eastAsia"/>
          <w:lang w:val="en-GB"/>
        </w:rPr>
        <w:t>吉埃及法外处决、即审即决或任意处决问题特别报告员克里斯托夫·</w:t>
      </w:r>
      <w:r w:rsidR="00244AF4" w:rsidRPr="00244AF4">
        <w:rPr>
          <w:rFonts w:hint="eastAsia"/>
          <w:lang w:val="en-GB"/>
        </w:rPr>
        <w:t>海恩斯的联合报告。本报告根据理事会第</w:t>
      </w:r>
      <w:r w:rsidR="004527D5">
        <w:rPr>
          <w:lang w:val="en-GB"/>
        </w:rPr>
        <w:t>25/38</w:t>
      </w:r>
      <w:r w:rsidR="00244AF4" w:rsidRPr="00244AF4">
        <w:rPr>
          <w:rFonts w:hint="eastAsia"/>
          <w:lang w:val="en-GB"/>
        </w:rPr>
        <w:t>号决议提交</w:t>
      </w:r>
      <w:r w:rsidR="002B6DF0">
        <w:rPr>
          <w:rFonts w:hint="eastAsia"/>
          <w:lang w:val="en-GB"/>
        </w:rPr>
        <w:t>，在</w:t>
      </w:r>
      <w:r w:rsidR="00244AF4" w:rsidRPr="00244AF4">
        <w:rPr>
          <w:rFonts w:hint="eastAsia"/>
          <w:lang w:val="en-GB"/>
        </w:rPr>
        <w:t>报告中</w:t>
      </w:r>
      <w:r w:rsidR="004527D5">
        <w:rPr>
          <w:rFonts w:hint="eastAsia"/>
          <w:lang w:val="en-GB"/>
        </w:rPr>
        <w:t>，</w:t>
      </w:r>
      <w:r w:rsidR="00244AF4" w:rsidRPr="00244AF4">
        <w:rPr>
          <w:rFonts w:hint="eastAsia"/>
          <w:lang w:val="en-GB"/>
        </w:rPr>
        <w:t>两位特别报告员汇编了关于适当管理集会的实用建议。在汇编的每一部分</w:t>
      </w:r>
      <w:r w:rsidR="004527D5">
        <w:rPr>
          <w:rFonts w:hint="eastAsia"/>
          <w:lang w:val="en-GB"/>
        </w:rPr>
        <w:t>，</w:t>
      </w:r>
      <w:r w:rsidR="00244AF4" w:rsidRPr="00244AF4">
        <w:rPr>
          <w:rFonts w:hint="eastAsia"/>
          <w:lang w:val="en-GB"/>
        </w:rPr>
        <w:t>两位特别报告员概述适用的国际法律标准</w:t>
      </w:r>
      <w:r w:rsidR="004527D5">
        <w:rPr>
          <w:rFonts w:hint="eastAsia"/>
          <w:lang w:val="en-GB"/>
        </w:rPr>
        <w:t>，</w:t>
      </w:r>
      <w:r w:rsidR="00244AF4" w:rsidRPr="00244AF4">
        <w:rPr>
          <w:rFonts w:hint="eastAsia"/>
          <w:lang w:val="en-GB"/>
        </w:rPr>
        <w:t>之后列出如何执行这些原则的实用建议</w:t>
      </w:r>
      <w:r w:rsidR="004527D5">
        <w:rPr>
          <w:rFonts w:hint="eastAsia"/>
          <w:lang w:val="en-GB"/>
        </w:rPr>
        <w:t>，</w:t>
      </w:r>
      <w:r w:rsidR="00244AF4" w:rsidRPr="00244AF4">
        <w:rPr>
          <w:rFonts w:hint="eastAsia"/>
          <w:lang w:val="en-GB"/>
        </w:rPr>
        <w:t>其目的是确保更好地保护集会参与者的各项权利。</w:t>
      </w:r>
    </w:p>
    <w:p w:rsidR="00244AF4" w:rsidRPr="00244AF4" w:rsidRDefault="00244AF4" w:rsidP="00244AF4">
      <w:pPr>
        <w:pStyle w:val="SingleTxtGC"/>
        <w:rPr>
          <w:lang w:val="en-GB"/>
        </w:rPr>
      </w:pPr>
      <w:r w:rsidRPr="00244AF4">
        <w:rPr>
          <w:lang w:val="en-GB"/>
        </w:rPr>
        <w:br w:type="page"/>
      </w:r>
    </w:p>
    <w:p w:rsidR="005A4798" w:rsidRDefault="005A4798" w:rsidP="00E845B2">
      <w:pPr>
        <w:spacing w:after="120"/>
        <w:rPr>
          <w:sz w:val="28"/>
          <w:szCs w:val="28"/>
        </w:rPr>
      </w:pPr>
      <w:r>
        <w:rPr>
          <w:rFonts w:hint="eastAsia"/>
          <w:sz w:val="28"/>
          <w:szCs w:val="28"/>
        </w:rPr>
        <w:lastRenderedPageBreak/>
        <w:t>目录</w:t>
      </w:r>
    </w:p>
    <w:p w:rsidR="00F22FA0" w:rsidRDefault="005A4798" w:rsidP="00F22FA0">
      <w:pPr>
        <w:tabs>
          <w:tab w:val="right" w:pos="8789"/>
          <w:tab w:val="right" w:pos="9639"/>
        </w:tabs>
        <w:spacing w:after="120"/>
        <w:ind w:left="488"/>
        <w:rPr>
          <w:rFonts w:eastAsia="楷体"/>
          <w:sz w:val="18"/>
          <w:szCs w:val="18"/>
          <w:lang w:val="fr-CH"/>
        </w:rPr>
      </w:pPr>
      <w:r w:rsidRPr="00115A19">
        <w:rPr>
          <w:rFonts w:eastAsia="楷体"/>
          <w:sz w:val="18"/>
          <w:szCs w:val="18"/>
          <w:lang w:val="fr-CH"/>
        </w:rPr>
        <w:tab/>
      </w:r>
    </w:p>
    <w:p w:rsidR="00F22FA0" w:rsidRPr="00115A19" w:rsidRDefault="00F22FA0" w:rsidP="00F22FA0">
      <w:pPr>
        <w:tabs>
          <w:tab w:val="right" w:pos="8789"/>
          <w:tab w:val="right" w:pos="9639"/>
        </w:tabs>
        <w:spacing w:after="120"/>
        <w:ind w:left="488"/>
        <w:rPr>
          <w:rFonts w:eastAsia="楷体"/>
          <w:sz w:val="23"/>
          <w:szCs w:val="23"/>
        </w:rPr>
      </w:pPr>
      <w:r w:rsidRPr="00115A19">
        <w:rPr>
          <w:rFonts w:eastAsia="楷体"/>
          <w:sz w:val="18"/>
          <w:szCs w:val="18"/>
          <w:lang w:val="fr-CH"/>
        </w:rPr>
        <w:tab/>
      </w:r>
      <w:r>
        <w:rPr>
          <w:rFonts w:eastAsia="楷体" w:hint="eastAsia"/>
          <w:sz w:val="18"/>
          <w:szCs w:val="18"/>
          <w:lang w:val="fr-CH"/>
        </w:rPr>
        <w:tab/>
      </w:r>
      <w:r w:rsidRPr="00115A19">
        <w:rPr>
          <w:rFonts w:eastAsia="楷体" w:hint="eastAsia"/>
          <w:sz w:val="18"/>
          <w:szCs w:val="18"/>
        </w:rPr>
        <w:t>页次</w:t>
      </w:r>
    </w:p>
    <w:p w:rsidR="00F22FA0" w:rsidRPr="00817144" w:rsidRDefault="00F22FA0" w:rsidP="006A5AF9">
      <w:pPr>
        <w:pStyle w:val="a3"/>
        <w:tabs>
          <w:tab w:val="clear" w:pos="1565"/>
          <w:tab w:val="clear" w:pos="1996"/>
        </w:tabs>
        <w:spacing w:after="120"/>
      </w:pPr>
      <w:r w:rsidRPr="00817144">
        <w:rPr>
          <w:rFonts w:hint="eastAsia"/>
        </w:rPr>
        <w:tab/>
      </w:r>
      <w:r w:rsidRPr="00817144">
        <w:rPr>
          <w:rFonts w:hint="eastAsia"/>
        </w:rPr>
        <w:t>一</w:t>
      </w:r>
      <w:r w:rsidRPr="00817144">
        <w:rPr>
          <w:rFonts w:hint="eastAsia"/>
        </w:rPr>
        <w:t>.</w:t>
      </w:r>
      <w:r w:rsidRPr="00817144">
        <w:rPr>
          <w:rFonts w:hint="eastAsia"/>
        </w:rPr>
        <w:tab/>
      </w:r>
      <w:r w:rsidRPr="00817144">
        <w:rPr>
          <w:rFonts w:hint="eastAsia"/>
        </w:rPr>
        <w:t>导言</w:t>
      </w:r>
      <w:r>
        <w:rPr>
          <w:rFonts w:hint="eastAsia"/>
        </w:rPr>
        <w:tab/>
      </w:r>
      <w:r>
        <w:rPr>
          <w:rFonts w:hint="eastAsia"/>
        </w:rPr>
        <w:tab/>
      </w:r>
      <w:r w:rsidR="00FF7C61">
        <w:rPr>
          <w:rFonts w:hint="eastAsia"/>
        </w:rPr>
        <w:t>3</w:t>
      </w:r>
    </w:p>
    <w:p w:rsidR="005A4798" w:rsidRDefault="005A4798" w:rsidP="006A5AF9">
      <w:pPr>
        <w:pStyle w:val="a3"/>
        <w:spacing w:after="120"/>
      </w:pPr>
      <w:r>
        <w:rPr>
          <w:rFonts w:hint="eastAsia"/>
        </w:rPr>
        <w:tab/>
      </w:r>
      <w:r>
        <w:rPr>
          <w:rFonts w:hint="eastAsia"/>
        </w:rPr>
        <w:t>二</w:t>
      </w:r>
      <w:r>
        <w:rPr>
          <w:rFonts w:hint="eastAsia"/>
        </w:rPr>
        <w:t>.</w:t>
      </w:r>
      <w:r>
        <w:rPr>
          <w:rFonts w:hint="eastAsia"/>
        </w:rPr>
        <w:tab/>
      </w:r>
      <w:r w:rsidRPr="00244AF4">
        <w:rPr>
          <w:rFonts w:hint="eastAsia"/>
          <w:lang w:val="en-GB"/>
        </w:rPr>
        <w:t>集会的适当管理</w:t>
      </w:r>
      <w:r w:rsidR="00F22FA0">
        <w:rPr>
          <w:rFonts w:hint="eastAsia"/>
        </w:rPr>
        <w:tab/>
      </w:r>
      <w:r w:rsidR="00F22FA0">
        <w:rPr>
          <w:rFonts w:hint="eastAsia"/>
        </w:rPr>
        <w:tab/>
      </w:r>
      <w:r w:rsidR="00FF7C61">
        <w:rPr>
          <w:rFonts w:hint="eastAsia"/>
        </w:rPr>
        <w:t>3</w:t>
      </w:r>
    </w:p>
    <w:p w:rsidR="005A4798" w:rsidRDefault="005A4798" w:rsidP="006A5AF9">
      <w:pPr>
        <w:pStyle w:val="a3"/>
        <w:spacing w:after="120"/>
        <w:ind w:left="1565" w:right="4253" w:hanging="1565"/>
      </w:pPr>
      <w:r>
        <w:rPr>
          <w:rFonts w:hint="eastAsia"/>
        </w:rPr>
        <w:tab/>
      </w:r>
      <w:r>
        <w:rPr>
          <w:rFonts w:hint="eastAsia"/>
        </w:rPr>
        <w:tab/>
      </w:r>
      <w:r w:rsidR="004527D5">
        <w:rPr>
          <w:rFonts w:hint="eastAsia"/>
        </w:rPr>
        <w:t>A</w:t>
      </w:r>
      <w:r>
        <w:rPr>
          <w:rFonts w:hint="eastAsia"/>
        </w:rPr>
        <w:t>.</w:t>
      </w:r>
      <w:r>
        <w:rPr>
          <w:rFonts w:hint="eastAsia"/>
        </w:rPr>
        <w:tab/>
      </w:r>
      <w:r w:rsidRPr="00244AF4">
        <w:rPr>
          <w:rFonts w:hint="eastAsia"/>
          <w:lang w:val="en-GB"/>
        </w:rPr>
        <w:t>各国应尊重和确保集会参与者的各项权利</w:t>
      </w:r>
      <w:r>
        <w:rPr>
          <w:rFonts w:hint="eastAsia"/>
        </w:rPr>
        <w:tab/>
      </w:r>
      <w:r>
        <w:rPr>
          <w:rFonts w:hint="eastAsia"/>
        </w:rPr>
        <w:tab/>
      </w:r>
      <w:r w:rsidR="00FF7C61">
        <w:rPr>
          <w:rFonts w:hint="eastAsia"/>
        </w:rPr>
        <w:t>5</w:t>
      </w:r>
    </w:p>
    <w:p w:rsidR="005A4798" w:rsidRDefault="005A4798" w:rsidP="006A5AF9">
      <w:pPr>
        <w:pStyle w:val="a3"/>
        <w:spacing w:after="120"/>
        <w:ind w:left="1565" w:right="4253" w:hanging="1565"/>
      </w:pPr>
      <w:r>
        <w:rPr>
          <w:rFonts w:hint="eastAsia"/>
        </w:rPr>
        <w:tab/>
      </w:r>
      <w:r>
        <w:rPr>
          <w:rFonts w:hint="eastAsia"/>
        </w:rPr>
        <w:tab/>
      </w:r>
      <w:r w:rsidR="004527D5">
        <w:rPr>
          <w:rFonts w:hint="eastAsia"/>
        </w:rPr>
        <w:t>B</w:t>
      </w:r>
      <w:r>
        <w:rPr>
          <w:rFonts w:hint="eastAsia"/>
        </w:rPr>
        <w:t>.</w:t>
      </w:r>
      <w:r>
        <w:rPr>
          <w:rFonts w:hint="eastAsia"/>
        </w:rPr>
        <w:tab/>
      </w:r>
      <w:r w:rsidRPr="00244AF4">
        <w:rPr>
          <w:rFonts w:hint="eastAsia"/>
          <w:lang w:val="en-GB"/>
        </w:rPr>
        <w:t>人人享有不可剥夺的参与和平集会权</w:t>
      </w:r>
      <w:r>
        <w:rPr>
          <w:rFonts w:hint="eastAsia"/>
        </w:rPr>
        <w:tab/>
      </w:r>
      <w:r>
        <w:rPr>
          <w:rFonts w:hint="eastAsia"/>
        </w:rPr>
        <w:tab/>
      </w:r>
      <w:r w:rsidR="00FF7C61">
        <w:rPr>
          <w:rFonts w:hint="eastAsia"/>
        </w:rPr>
        <w:t>6</w:t>
      </w:r>
    </w:p>
    <w:p w:rsidR="005A4798" w:rsidRDefault="005A4798" w:rsidP="006A5AF9">
      <w:pPr>
        <w:pStyle w:val="a3"/>
        <w:spacing w:after="120"/>
        <w:ind w:left="1565" w:right="4253" w:hanging="1565"/>
      </w:pPr>
      <w:r>
        <w:rPr>
          <w:rFonts w:hint="eastAsia"/>
        </w:rPr>
        <w:tab/>
      </w:r>
      <w:r>
        <w:rPr>
          <w:rFonts w:hint="eastAsia"/>
        </w:rPr>
        <w:tab/>
      </w:r>
      <w:r w:rsidR="004527D5">
        <w:rPr>
          <w:rFonts w:hint="eastAsia"/>
        </w:rPr>
        <w:t>C</w:t>
      </w:r>
      <w:r>
        <w:rPr>
          <w:rFonts w:hint="eastAsia"/>
        </w:rPr>
        <w:t>.</w:t>
      </w:r>
      <w:r>
        <w:rPr>
          <w:rFonts w:hint="eastAsia"/>
        </w:rPr>
        <w:tab/>
      </w:r>
      <w:r w:rsidRPr="00244AF4">
        <w:rPr>
          <w:rFonts w:hint="eastAsia"/>
          <w:lang w:val="en-GB"/>
        </w:rPr>
        <w:t>对和平集会施加的任何限制均应符合国际人权标准</w:t>
      </w:r>
      <w:r>
        <w:rPr>
          <w:rFonts w:hint="eastAsia"/>
        </w:rPr>
        <w:tab/>
      </w:r>
      <w:r>
        <w:rPr>
          <w:rFonts w:hint="eastAsia"/>
        </w:rPr>
        <w:tab/>
      </w:r>
      <w:r w:rsidR="00FF7C61">
        <w:rPr>
          <w:rFonts w:hint="eastAsia"/>
        </w:rPr>
        <w:t>8</w:t>
      </w:r>
    </w:p>
    <w:p w:rsidR="005A4798" w:rsidRDefault="005A4798" w:rsidP="006A5AF9">
      <w:pPr>
        <w:pStyle w:val="a3"/>
        <w:spacing w:after="120"/>
        <w:ind w:left="1565" w:right="4253" w:hanging="1565"/>
      </w:pPr>
      <w:r>
        <w:rPr>
          <w:rFonts w:hint="eastAsia"/>
        </w:rPr>
        <w:tab/>
      </w:r>
      <w:r>
        <w:rPr>
          <w:rFonts w:hint="eastAsia"/>
        </w:rPr>
        <w:tab/>
      </w:r>
      <w:r w:rsidR="004527D5">
        <w:rPr>
          <w:rFonts w:hint="eastAsia"/>
        </w:rPr>
        <w:t>D</w:t>
      </w:r>
      <w:r>
        <w:rPr>
          <w:rFonts w:hint="eastAsia"/>
        </w:rPr>
        <w:t>.</w:t>
      </w:r>
      <w:r>
        <w:rPr>
          <w:rFonts w:hint="eastAsia"/>
        </w:rPr>
        <w:tab/>
      </w:r>
      <w:r w:rsidRPr="00244AF4">
        <w:rPr>
          <w:rFonts w:hint="eastAsia"/>
          <w:lang w:val="en-GB"/>
        </w:rPr>
        <w:t>各国应为行使和平集会权提供便利</w:t>
      </w:r>
      <w:r>
        <w:rPr>
          <w:rFonts w:hint="eastAsia"/>
        </w:rPr>
        <w:tab/>
      </w:r>
      <w:r>
        <w:rPr>
          <w:rFonts w:hint="eastAsia"/>
        </w:rPr>
        <w:tab/>
      </w:r>
      <w:r w:rsidR="00891554">
        <w:rPr>
          <w:rFonts w:hint="eastAsia"/>
        </w:rPr>
        <w:t>9</w:t>
      </w:r>
    </w:p>
    <w:p w:rsidR="005A4798" w:rsidRDefault="005A4798" w:rsidP="006A5AF9">
      <w:pPr>
        <w:pStyle w:val="a3"/>
        <w:spacing w:after="120"/>
        <w:ind w:left="1565" w:right="4253" w:hanging="1565"/>
      </w:pPr>
      <w:r>
        <w:rPr>
          <w:rFonts w:hint="eastAsia"/>
        </w:rPr>
        <w:tab/>
      </w:r>
      <w:r>
        <w:rPr>
          <w:rFonts w:hint="eastAsia"/>
        </w:rPr>
        <w:tab/>
      </w:r>
      <w:r w:rsidR="004527D5">
        <w:rPr>
          <w:rFonts w:hint="eastAsia"/>
        </w:rPr>
        <w:t>E</w:t>
      </w:r>
      <w:r>
        <w:rPr>
          <w:rFonts w:hint="eastAsia"/>
        </w:rPr>
        <w:t>.</w:t>
      </w:r>
      <w:r>
        <w:rPr>
          <w:rFonts w:hint="eastAsia"/>
        </w:rPr>
        <w:tab/>
      </w:r>
      <w:r w:rsidRPr="00244AF4">
        <w:rPr>
          <w:rFonts w:hint="eastAsia"/>
          <w:lang w:val="en-GB"/>
        </w:rPr>
        <w:t>除非的确无法避免</w:t>
      </w:r>
      <w:r w:rsidR="004527D5">
        <w:rPr>
          <w:rFonts w:hint="eastAsia"/>
          <w:lang w:val="en-GB"/>
        </w:rPr>
        <w:t>，</w:t>
      </w:r>
      <w:r w:rsidRPr="00244AF4">
        <w:rPr>
          <w:rFonts w:hint="eastAsia"/>
          <w:lang w:val="en-GB"/>
        </w:rPr>
        <w:t>否则不应使用武力</w:t>
      </w:r>
      <w:r w:rsidR="004527D5">
        <w:rPr>
          <w:rFonts w:hint="eastAsia"/>
          <w:lang w:val="en-GB"/>
        </w:rPr>
        <w:t>，</w:t>
      </w:r>
      <w:r w:rsidRPr="00244AF4">
        <w:rPr>
          <w:rFonts w:hint="eastAsia"/>
          <w:lang w:val="en-GB"/>
        </w:rPr>
        <w:t>如使用</w:t>
      </w:r>
      <w:r w:rsidR="004527D5">
        <w:rPr>
          <w:rFonts w:hint="eastAsia"/>
          <w:lang w:val="en-GB"/>
        </w:rPr>
        <w:t>，</w:t>
      </w:r>
      <w:r w:rsidRPr="00244AF4">
        <w:rPr>
          <w:rFonts w:hint="eastAsia"/>
          <w:lang w:val="en-GB"/>
        </w:rPr>
        <w:t>则须遵循国际人权法</w:t>
      </w:r>
      <w:r>
        <w:rPr>
          <w:rFonts w:hint="eastAsia"/>
        </w:rPr>
        <w:tab/>
      </w:r>
      <w:r w:rsidR="00891554">
        <w:rPr>
          <w:rFonts w:hint="eastAsia"/>
        </w:rPr>
        <w:tab/>
        <w:t>12</w:t>
      </w:r>
    </w:p>
    <w:p w:rsidR="005A4798" w:rsidRDefault="005A4798" w:rsidP="006A5AF9">
      <w:pPr>
        <w:pStyle w:val="a3"/>
        <w:spacing w:after="120"/>
        <w:ind w:left="1565" w:right="4253" w:hanging="1565"/>
      </w:pPr>
      <w:r>
        <w:rPr>
          <w:rFonts w:hint="eastAsia"/>
        </w:rPr>
        <w:tab/>
      </w:r>
      <w:r>
        <w:rPr>
          <w:rFonts w:hint="eastAsia"/>
        </w:rPr>
        <w:tab/>
      </w:r>
      <w:r w:rsidR="004527D5">
        <w:rPr>
          <w:rFonts w:hint="eastAsia"/>
        </w:rPr>
        <w:t>F</w:t>
      </w:r>
      <w:r>
        <w:rPr>
          <w:rFonts w:hint="eastAsia"/>
        </w:rPr>
        <w:t>.</w:t>
      </w:r>
      <w:r>
        <w:rPr>
          <w:rFonts w:hint="eastAsia"/>
        </w:rPr>
        <w:tab/>
      </w:r>
      <w:r w:rsidRPr="00244AF4">
        <w:rPr>
          <w:rFonts w:hint="eastAsia"/>
          <w:lang w:val="en-GB"/>
        </w:rPr>
        <w:t>人人享有观察、监测和记录集会的权利</w:t>
      </w:r>
      <w:r>
        <w:rPr>
          <w:rFonts w:hint="eastAsia"/>
        </w:rPr>
        <w:tab/>
      </w:r>
      <w:r>
        <w:rPr>
          <w:rFonts w:hint="eastAsia"/>
        </w:rPr>
        <w:tab/>
      </w:r>
      <w:r w:rsidR="00891554">
        <w:rPr>
          <w:rFonts w:hint="eastAsia"/>
        </w:rPr>
        <w:t>16</w:t>
      </w:r>
    </w:p>
    <w:p w:rsidR="005A4798" w:rsidRDefault="005A4798" w:rsidP="00891554">
      <w:pPr>
        <w:pStyle w:val="a3"/>
        <w:spacing w:after="120"/>
        <w:ind w:left="1565" w:right="4253" w:hanging="1565"/>
      </w:pPr>
      <w:r>
        <w:rPr>
          <w:rFonts w:hint="eastAsia"/>
        </w:rPr>
        <w:tab/>
      </w:r>
      <w:r>
        <w:rPr>
          <w:rFonts w:hint="eastAsia"/>
        </w:rPr>
        <w:tab/>
      </w:r>
      <w:r w:rsidR="004527D5">
        <w:rPr>
          <w:rFonts w:hint="eastAsia"/>
        </w:rPr>
        <w:t>G</w:t>
      </w:r>
      <w:r>
        <w:rPr>
          <w:rFonts w:hint="eastAsia"/>
        </w:rPr>
        <w:t>.</w:t>
      </w:r>
      <w:r>
        <w:rPr>
          <w:rFonts w:hint="eastAsia"/>
        </w:rPr>
        <w:tab/>
      </w:r>
      <w:r w:rsidRPr="00244AF4">
        <w:rPr>
          <w:rFonts w:hint="eastAsia"/>
          <w:lang w:val="en-GB"/>
        </w:rPr>
        <w:t>收集与集会有关的个人信息不应对隐私权或其他权利构成不容许的干涉</w:t>
      </w:r>
      <w:r>
        <w:rPr>
          <w:rFonts w:hint="eastAsia"/>
        </w:rPr>
        <w:tab/>
      </w:r>
      <w:r>
        <w:rPr>
          <w:rFonts w:hint="eastAsia"/>
        </w:rPr>
        <w:tab/>
      </w:r>
      <w:r w:rsidR="00891554">
        <w:rPr>
          <w:rFonts w:hint="eastAsia"/>
        </w:rPr>
        <w:t>17</w:t>
      </w:r>
    </w:p>
    <w:p w:rsidR="005A4798" w:rsidRDefault="005A4798" w:rsidP="00891554">
      <w:pPr>
        <w:pStyle w:val="a3"/>
        <w:spacing w:after="120"/>
        <w:ind w:left="1565" w:right="4253" w:hanging="1565"/>
      </w:pPr>
      <w:r>
        <w:rPr>
          <w:rFonts w:hint="eastAsia"/>
        </w:rPr>
        <w:tab/>
      </w:r>
      <w:r>
        <w:rPr>
          <w:rFonts w:hint="eastAsia"/>
        </w:rPr>
        <w:tab/>
      </w:r>
      <w:r w:rsidR="004527D5">
        <w:rPr>
          <w:rFonts w:hint="eastAsia"/>
        </w:rPr>
        <w:t>H</w:t>
      </w:r>
      <w:r>
        <w:rPr>
          <w:rFonts w:hint="eastAsia"/>
        </w:rPr>
        <w:t>.</w:t>
      </w:r>
      <w:r>
        <w:rPr>
          <w:rFonts w:hint="eastAsia"/>
        </w:rPr>
        <w:tab/>
      </w:r>
      <w:r w:rsidRPr="00244AF4">
        <w:rPr>
          <w:rFonts w:hint="eastAsia"/>
          <w:lang w:val="en-GB"/>
        </w:rPr>
        <w:t>人人有权获取有关集会的信息</w:t>
      </w:r>
      <w:r>
        <w:rPr>
          <w:rFonts w:hint="eastAsia"/>
        </w:rPr>
        <w:tab/>
      </w:r>
      <w:r>
        <w:rPr>
          <w:rFonts w:hint="eastAsia"/>
        </w:rPr>
        <w:tab/>
      </w:r>
      <w:r w:rsidR="00891554">
        <w:rPr>
          <w:rFonts w:hint="eastAsia"/>
        </w:rPr>
        <w:t>18</w:t>
      </w:r>
    </w:p>
    <w:p w:rsidR="005A4798" w:rsidRDefault="005A4798" w:rsidP="00891554">
      <w:pPr>
        <w:pStyle w:val="a3"/>
        <w:spacing w:after="120"/>
        <w:ind w:left="1565" w:right="4253" w:hanging="1565"/>
      </w:pPr>
      <w:r>
        <w:rPr>
          <w:rFonts w:hint="eastAsia"/>
        </w:rPr>
        <w:tab/>
      </w:r>
      <w:r>
        <w:rPr>
          <w:rFonts w:hint="eastAsia"/>
        </w:rPr>
        <w:tab/>
      </w:r>
      <w:r w:rsidR="004527D5">
        <w:rPr>
          <w:rFonts w:hint="eastAsia"/>
        </w:rPr>
        <w:t>I</w:t>
      </w:r>
      <w:r>
        <w:rPr>
          <w:rFonts w:hint="eastAsia"/>
        </w:rPr>
        <w:t>.</w:t>
      </w:r>
      <w:r>
        <w:rPr>
          <w:rFonts w:hint="eastAsia"/>
        </w:rPr>
        <w:tab/>
      </w:r>
      <w:r w:rsidRPr="00244AF4">
        <w:rPr>
          <w:rFonts w:hint="eastAsia"/>
          <w:lang w:val="en-GB"/>
        </w:rPr>
        <w:t>工商企业有责任在集会背景下尊重人权</w:t>
      </w:r>
      <w:r>
        <w:rPr>
          <w:rFonts w:hint="eastAsia"/>
        </w:rPr>
        <w:tab/>
      </w:r>
      <w:r>
        <w:rPr>
          <w:rFonts w:hint="eastAsia"/>
        </w:rPr>
        <w:tab/>
      </w:r>
      <w:r w:rsidR="00891554">
        <w:rPr>
          <w:rFonts w:hint="eastAsia"/>
        </w:rPr>
        <w:t>19</w:t>
      </w:r>
    </w:p>
    <w:p w:rsidR="005A4798" w:rsidRDefault="005A4798" w:rsidP="006A5AF9">
      <w:pPr>
        <w:pStyle w:val="a3"/>
        <w:spacing w:after="120"/>
        <w:ind w:left="1565" w:right="4253" w:hanging="1565"/>
      </w:pPr>
      <w:r>
        <w:rPr>
          <w:rFonts w:hint="eastAsia"/>
        </w:rPr>
        <w:tab/>
      </w:r>
      <w:r>
        <w:rPr>
          <w:rFonts w:hint="eastAsia"/>
        </w:rPr>
        <w:tab/>
      </w:r>
      <w:r w:rsidR="004527D5">
        <w:rPr>
          <w:rFonts w:hint="eastAsia"/>
        </w:rPr>
        <w:t>J</w:t>
      </w:r>
      <w:r>
        <w:rPr>
          <w:rFonts w:hint="eastAsia"/>
        </w:rPr>
        <w:t>.</w:t>
      </w:r>
      <w:r>
        <w:rPr>
          <w:rFonts w:hint="eastAsia"/>
        </w:rPr>
        <w:tab/>
      </w:r>
      <w:r w:rsidRPr="00244AF4">
        <w:rPr>
          <w:rFonts w:hint="eastAsia"/>
          <w:lang w:val="en-GB"/>
        </w:rPr>
        <w:t>应当追究国家及国家机构对其与集会有关的行为的责任</w:t>
      </w:r>
      <w:r>
        <w:rPr>
          <w:rFonts w:hint="eastAsia"/>
        </w:rPr>
        <w:tab/>
      </w:r>
      <w:r>
        <w:rPr>
          <w:rFonts w:hint="eastAsia"/>
        </w:rPr>
        <w:tab/>
      </w:r>
      <w:r w:rsidR="00891554">
        <w:rPr>
          <w:rFonts w:hint="eastAsia"/>
        </w:rPr>
        <w:t>20</w:t>
      </w:r>
    </w:p>
    <w:p w:rsidR="005A4798" w:rsidRDefault="005A4798" w:rsidP="0022563B">
      <w:pPr>
        <w:pStyle w:val="a3"/>
        <w:tabs>
          <w:tab w:val="clear" w:pos="1565"/>
          <w:tab w:val="clear" w:pos="1996"/>
        </w:tabs>
        <w:spacing w:after="120"/>
      </w:pPr>
      <w:r>
        <w:rPr>
          <w:rFonts w:hint="eastAsia"/>
        </w:rPr>
        <w:tab/>
      </w:r>
      <w:r>
        <w:rPr>
          <w:rFonts w:hint="eastAsia"/>
        </w:rPr>
        <w:t>三</w:t>
      </w:r>
      <w:r>
        <w:rPr>
          <w:rFonts w:hint="eastAsia"/>
        </w:rPr>
        <w:t>.</w:t>
      </w:r>
      <w:r>
        <w:rPr>
          <w:rFonts w:hint="eastAsia"/>
        </w:rPr>
        <w:tab/>
      </w:r>
      <w:r w:rsidRPr="00F22FA0">
        <w:rPr>
          <w:rFonts w:hint="eastAsia"/>
        </w:rPr>
        <w:t>结束语</w:t>
      </w:r>
      <w:r>
        <w:rPr>
          <w:rFonts w:hint="eastAsia"/>
        </w:rPr>
        <w:tab/>
      </w:r>
      <w:r w:rsidR="0022563B">
        <w:rPr>
          <w:rFonts w:hint="eastAsia"/>
        </w:rPr>
        <w:tab/>
      </w:r>
      <w:r w:rsidR="00891554">
        <w:rPr>
          <w:rFonts w:hint="eastAsia"/>
        </w:rPr>
        <w:t>22</w:t>
      </w:r>
    </w:p>
    <w:p w:rsidR="00244AF4" w:rsidRPr="00244AF4" w:rsidRDefault="00244AF4" w:rsidP="003C70F0">
      <w:pPr>
        <w:pStyle w:val="HChGC"/>
        <w:rPr>
          <w:lang w:val="en-GB"/>
        </w:rPr>
      </w:pPr>
      <w:r w:rsidRPr="00244AF4">
        <w:rPr>
          <w:lang w:val="en-GB"/>
        </w:rPr>
        <w:br w:type="page"/>
      </w:r>
      <w:r w:rsidRPr="00244AF4">
        <w:rPr>
          <w:lang w:val="en-GB"/>
        </w:rPr>
        <w:lastRenderedPageBreak/>
        <w:tab/>
      </w:r>
      <w:r w:rsidRPr="00244AF4">
        <w:rPr>
          <w:rFonts w:hint="eastAsia"/>
          <w:lang w:val="en-GB"/>
        </w:rPr>
        <w:t>一</w:t>
      </w:r>
      <w:r w:rsidRPr="00244AF4">
        <w:rPr>
          <w:lang w:val="en-GB"/>
        </w:rPr>
        <w:t>.</w:t>
      </w:r>
      <w:r w:rsidRPr="00244AF4">
        <w:rPr>
          <w:lang w:val="en-GB"/>
        </w:rPr>
        <w:tab/>
      </w:r>
      <w:r w:rsidRPr="00244AF4">
        <w:rPr>
          <w:rFonts w:hint="eastAsia"/>
          <w:lang w:val="en-GB"/>
        </w:rPr>
        <w:t>导言</w:t>
      </w:r>
    </w:p>
    <w:p w:rsidR="00244AF4" w:rsidRPr="00244AF4" w:rsidRDefault="004527D5" w:rsidP="006A5AF9">
      <w:pPr>
        <w:pStyle w:val="SingleTxtGC"/>
      </w:pPr>
      <w:r>
        <w:t>1.</w:t>
      </w:r>
      <w:r w:rsidR="003C70F0">
        <w:rPr>
          <w:rFonts w:hint="eastAsia"/>
        </w:rPr>
        <w:t xml:space="preserve">  </w:t>
      </w:r>
      <w:r w:rsidR="00244AF4" w:rsidRPr="00244AF4">
        <w:rPr>
          <w:rFonts w:hint="eastAsia"/>
          <w:lang w:val="en-GB"/>
        </w:rPr>
        <w:t>各种形式的集会在当今世界发挥着突出作用</w:t>
      </w:r>
      <w:r>
        <w:rPr>
          <w:rFonts w:hint="eastAsia"/>
          <w:lang w:val="en-GB"/>
        </w:rPr>
        <w:t>，</w:t>
      </w:r>
      <w:r w:rsidR="00244AF4" w:rsidRPr="00244AF4">
        <w:rPr>
          <w:rFonts w:hint="eastAsia"/>
          <w:lang w:val="en-GB"/>
        </w:rPr>
        <w:t>带来了新的机遇和挑战。明确了解适用的国际人权法律和标准以及各时期集会管理方面的经验教训</w:t>
      </w:r>
      <w:r>
        <w:rPr>
          <w:rFonts w:hint="eastAsia"/>
          <w:lang w:val="en-GB"/>
        </w:rPr>
        <w:t>，</w:t>
      </w:r>
      <w:r w:rsidR="00244AF4" w:rsidRPr="00244AF4">
        <w:rPr>
          <w:rFonts w:hint="eastAsia"/>
          <w:lang w:val="en-GB"/>
        </w:rPr>
        <w:t>可有助于保护所有相关人员</w:t>
      </w:r>
      <w:r w:rsidR="006A5AF9" w:rsidRPr="006A5AF9">
        <w:rPr>
          <w:rFonts w:hint="eastAsia"/>
          <w:spacing w:val="-50"/>
          <w:lang w:val="en-GB"/>
        </w:rPr>
        <w:t>―</w:t>
      </w:r>
      <w:r w:rsidR="006A5AF9" w:rsidRPr="006A5AF9">
        <w:rPr>
          <w:rFonts w:hint="eastAsia"/>
          <w:lang w:val="en-GB"/>
        </w:rPr>
        <w:t>―</w:t>
      </w:r>
      <w:r w:rsidR="00244AF4" w:rsidRPr="00244AF4">
        <w:rPr>
          <w:rFonts w:hint="eastAsia"/>
          <w:lang w:val="en-GB"/>
        </w:rPr>
        <w:t>集会参与者、旁观者、监测者和主管部门</w:t>
      </w:r>
      <w:r w:rsidR="006A5AF9" w:rsidRPr="006A5AF9">
        <w:rPr>
          <w:rFonts w:hint="eastAsia"/>
          <w:spacing w:val="-50"/>
          <w:lang w:val="en-GB"/>
        </w:rPr>
        <w:t>―</w:t>
      </w:r>
      <w:r w:rsidR="006A5AF9" w:rsidRPr="006A5AF9">
        <w:rPr>
          <w:rFonts w:hint="eastAsia"/>
          <w:lang w:val="en-GB"/>
        </w:rPr>
        <w:t>―</w:t>
      </w:r>
      <w:r w:rsidR="00244AF4" w:rsidRPr="00244AF4">
        <w:rPr>
          <w:rFonts w:hint="eastAsia"/>
          <w:lang w:val="en-GB"/>
        </w:rPr>
        <w:t>的正当利益。</w:t>
      </w:r>
    </w:p>
    <w:p w:rsidR="00244AF4" w:rsidRPr="006A5AF9" w:rsidRDefault="004527D5" w:rsidP="00244AF4">
      <w:pPr>
        <w:pStyle w:val="SingleTxtGC"/>
        <w:rPr>
          <w:spacing w:val="-4"/>
        </w:rPr>
      </w:pPr>
      <w:r>
        <w:t>2.</w:t>
      </w:r>
      <w:r w:rsidR="003C70F0">
        <w:t xml:space="preserve">  </w:t>
      </w:r>
      <w:r w:rsidR="00244AF4" w:rsidRPr="00244AF4">
        <w:rPr>
          <w:rFonts w:hint="eastAsia"/>
          <w:lang w:val="en-GB"/>
        </w:rPr>
        <w:t>人权理事会日益关注在集会背景下增进和保护人权问题。</w:t>
      </w:r>
      <w:r w:rsidR="00244AF4" w:rsidRPr="006A5AF9">
        <w:rPr>
          <w:color w:val="0000FF"/>
          <w:vertAlign w:val="superscript"/>
          <w:lang w:val="en-GB"/>
        </w:rPr>
        <w:footnoteReference w:id="2"/>
      </w:r>
      <w:r w:rsidR="0009265E">
        <w:rPr>
          <w:rFonts w:hint="eastAsia"/>
          <w:lang w:val="en-GB"/>
        </w:rPr>
        <w:t xml:space="preserve"> </w:t>
      </w:r>
      <w:r>
        <w:rPr>
          <w:rFonts w:hint="eastAsia"/>
          <w:lang w:val="en-GB"/>
        </w:rPr>
        <w:t>2</w:t>
      </w:r>
      <w:r w:rsidR="00244AF4" w:rsidRPr="00244AF4">
        <w:rPr>
          <w:rFonts w:hint="eastAsia"/>
          <w:lang w:val="en-GB"/>
        </w:rPr>
        <w:t>0</w:t>
      </w:r>
      <w:r>
        <w:rPr>
          <w:rFonts w:hint="eastAsia"/>
          <w:lang w:val="en-GB"/>
        </w:rPr>
        <w:t>14</w:t>
      </w:r>
      <w:r w:rsidR="00244AF4" w:rsidRPr="00244AF4">
        <w:rPr>
          <w:rFonts w:hint="eastAsia"/>
          <w:lang w:val="en-GB"/>
        </w:rPr>
        <w:t>年</w:t>
      </w:r>
      <w:r>
        <w:rPr>
          <w:rFonts w:hint="eastAsia"/>
          <w:lang w:val="en-GB"/>
        </w:rPr>
        <w:t>3</w:t>
      </w:r>
      <w:r w:rsidR="00244AF4" w:rsidRPr="00244AF4">
        <w:rPr>
          <w:rFonts w:hint="eastAsia"/>
          <w:lang w:val="en-GB"/>
        </w:rPr>
        <w:t>月</w:t>
      </w:r>
      <w:r>
        <w:rPr>
          <w:rFonts w:hint="eastAsia"/>
          <w:lang w:val="en-GB"/>
        </w:rPr>
        <w:t>，</w:t>
      </w:r>
      <w:r w:rsidR="00244AF4" w:rsidRPr="00244AF4">
        <w:rPr>
          <w:rFonts w:hint="eastAsia"/>
          <w:lang w:val="en-GB"/>
        </w:rPr>
        <w:t>理事会通过了第</w:t>
      </w:r>
      <w:r>
        <w:rPr>
          <w:lang w:val="en-GB"/>
        </w:rPr>
        <w:t>25/38</w:t>
      </w:r>
      <w:r w:rsidR="00244AF4" w:rsidRPr="00244AF4">
        <w:rPr>
          <w:rFonts w:hint="eastAsia"/>
          <w:lang w:val="en-GB"/>
        </w:rPr>
        <w:t>号决议</w:t>
      </w:r>
      <w:r>
        <w:rPr>
          <w:rFonts w:hint="eastAsia"/>
          <w:lang w:val="en-GB"/>
        </w:rPr>
        <w:t>，</w:t>
      </w:r>
      <w:r w:rsidR="00244AF4" w:rsidRPr="00244AF4">
        <w:rPr>
          <w:rFonts w:hint="eastAsia"/>
          <w:lang w:val="en-GB"/>
        </w:rPr>
        <w:t>请和平集会和结社自由权利问题特别报告员及法外</w:t>
      </w:r>
      <w:r w:rsidR="00244AF4" w:rsidRPr="006A5AF9">
        <w:rPr>
          <w:rFonts w:hint="eastAsia"/>
          <w:spacing w:val="-4"/>
          <w:lang w:val="en-GB"/>
        </w:rPr>
        <w:t>处决、即审即决或任意处决问题特别报告员编拟适当管理集会的实用建议汇编。</w:t>
      </w:r>
      <w:r w:rsidR="00244AF4" w:rsidRPr="006A5AF9">
        <w:rPr>
          <w:color w:val="0000FF"/>
          <w:spacing w:val="-4"/>
          <w:vertAlign w:val="superscript"/>
          <w:lang w:val="en-GB"/>
        </w:rPr>
        <w:footnoteReference w:id="3"/>
      </w:r>
    </w:p>
    <w:p w:rsidR="00244AF4" w:rsidRPr="00244AF4" w:rsidRDefault="004527D5" w:rsidP="00244AF4">
      <w:pPr>
        <w:pStyle w:val="SingleTxtGC"/>
      </w:pPr>
      <w:r>
        <w:t>3.</w:t>
      </w:r>
      <w:r w:rsidR="003C70F0">
        <w:t xml:space="preserve">  </w:t>
      </w:r>
      <w:r w:rsidR="00244AF4" w:rsidRPr="00244AF4">
        <w:rPr>
          <w:rFonts w:hint="eastAsia"/>
          <w:lang w:val="en-GB"/>
        </w:rPr>
        <w:t>根据理事会的要求</w:t>
      </w:r>
      <w:r>
        <w:rPr>
          <w:rFonts w:hint="eastAsia"/>
          <w:lang w:val="en-GB"/>
        </w:rPr>
        <w:t>，</w:t>
      </w:r>
      <w:r w:rsidR="00244AF4" w:rsidRPr="00244AF4">
        <w:rPr>
          <w:rFonts w:hint="eastAsia"/>
          <w:lang w:val="en-GB"/>
        </w:rPr>
        <w:t>两位特别报告员在制定建议过程中通过调查问卷和参与式协商与有关利益攸关方进行了广泛协商。两位特别报告员与国家代表举行了</w:t>
      </w:r>
      <w:r>
        <w:rPr>
          <w:rFonts w:hint="eastAsia"/>
          <w:lang w:val="en-GB"/>
        </w:rPr>
        <w:t>4</w:t>
      </w:r>
      <w:r w:rsidR="00244AF4" w:rsidRPr="00244AF4">
        <w:rPr>
          <w:rFonts w:hint="eastAsia"/>
          <w:lang w:val="en-GB"/>
        </w:rPr>
        <w:t>次协商会议</w:t>
      </w:r>
      <w:r>
        <w:rPr>
          <w:rFonts w:hint="eastAsia"/>
          <w:lang w:val="en-GB"/>
        </w:rPr>
        <w:t>，</w:t>
      </w:r>
      <w:r w:rsidR="00244AF4" w:rsidRPr="006A5AF9">
        <w:rPr>
          <w:color w:val="0000FF"/>
          <w:vertAlign w:val="superscript"/>
          <w:lang w:val="en-GB"/>
        </w:rPr>
        <w:footnoteReference w:id="4"/>
      </w:r>
      <w:r w:rsidR="006A5AF9">
        <w:rPr>
          <w:rFonts w:hint="eastAsia"/>
          <w:lang w:val="en-GB"/>
        </w:rPr>
        <w:t xml:space="preserve"> </w:t>
      </w:r>
      <w:r w:rsidR="00244AF4" w:rsidRPr="00244AF4">
        <w:rPr>
          <w:rFonts w:hint="eastAsia"/>
          <w:lang w:val="en-GB"/>
        </w:rPr>
        <w:t>并与民间社会、国家人权机构、区域人权机制和警务及其他问题专家举行了</w:t>
      </w:r>
      <w:r>
        <w:rPr>
          <w:rFonts w:hint="eastAsia"/>
          <w:lang w:val="en-GB"/>
        </w:rPr>
        <w:t>4</w:t>
      </w:r>
      <w:r w:rsidR="00244AF4" w:rsidRPr="00244AF4">
        <w:rPr>
          <w:rFonts w:hint="eastAsia"/>
          <w:lang w:val="en-GB"/>
        </w:rPr>
        <w:t>次区域协商会议。</w:t>
      </w:r>
      <w:r w:rsidR="00244AF4" w:rsidRPr="006A5AF9">
        <w:rPr>
          <w:color w:val="0000FF"/>
          <w:vertAlign w:val="superscript"/>
          <w:lang w:val="en-GB"/>
        </w:rPr>
        <w:footnoteReference w:id="5"/>
      </w:r>
      <w:r w:rsidR="003C70F0">
        <w:rPr>
          <w:rFonts w:hint="eastAsia"/>
          <w:lang w:val="en-GB"/>
        </w:rPr>
        <w:t xml:space="preserve"> </w:t>
      </w:r>
      <w:r w:rsidR="00244AF4" w:rsidRPr="00244AF4">
        <w:rPr>
          <w:rFonts w:hint="eastAsia"/>
          <w:lang w:val="en-GB"/>
        </w:rPr>
        <w:t>设立了一个</w:t>
      </w:r>
      <w:r>
        <w:rPr>
          <w:rFonts w:hint="eastAsia"/>
          <w:lang w:val="en-GB"/>
        </w:rPr>
        <w:t>9</w:t>
      </w:r>
      <w:r w:rsidR="00244AF4" w:rsidRPr="00244AF4">
        <w:rPr>
          <w:rFonts w:hint="eastAsia"/>
          <w:lang w:val="en-GB"/>
        </w:rPr>
        <w:t>人咨询小组</w:t>
      </w:r>
      <w:r>
        <w:rPr>
          <w:rFonts w:hint="eastAsia"/>
          <w:lang w:val="en-GB"/>
        </w:rPr>
        <w:t>，</w:t>
      </w:r>
      <w:r w:rsidR="00244AF4" w:rsidRPr="00244AF4">
        <w:rPr>
          <w:rFonts w:hint="eastAsia"/>
          <w:lang w:val="en-GB"/>
        </w:rPr>
        <w:t>在这一进程各阶段向两位特别报告员提供反馈意见。</w:t>
      </w:r>
      <w:r w:rsidR="00244AF4" w:rsidRPr="006A5AF9">
        <w:rPr>
          <w:color w:val="0000FF"/>
          <w:vertAlign w:val="superscript"/>
          <w:lang w:val="en-GB"/>
        </w:rPr>
        <w:footnoteReference w:id="6"/>
      </w:r>
    </w:p>
    <w:p w:rsidR="00244AF4" w:rsidRDefault="004527D5" w:rsidP="00244AF4">
      <w:pPr>
        <w:pStyle w:val="SingleTxtGC"/>
        <w:rPr>
          <w:lang w:val="en-GB"/>
        </w:rPr>
      </w:pPr>
      <w:r>
        <w:t>4.</w:t>
      </w:r>
      <w:r w:rsidR="003C70F0">
        <w:t xml:space="preserve">  </w:t>
      </w:r>
      <w:r w:rsidR="00244AF4" w:rsidRPr="00244AF4">
        <w:rPr>
          <w:rFonts w:hint="eastAsia"/>
          <w:lang w:val="en-GB"/>
        </w:rPr>
        <w:t>本汇编旨在提供指导意见</w:t>
      </w:r>
      <w:r>
        <w:rPr>
          <w:rFonts w:hint="eastAsia"/>
          <w:lang w:val="en-GB"/>
        </w:rPr>
        <w:t>，</w:t>
      </w:r>
      <w:r w:rsidR="00244AF4" w:rsidRPr="00244AF4">
        <w:rPr>
          <w:rFonts w:hint="eastAsia"/>
          <w:lang w:val="en-GB"/>
        </w:rPr>
        <w:t>指导如何在国内法律和实践中执行适用的国际人权标准以确保更好地保护相关权利。这些建议围绕</w:t>
      </w:r>
      <w:r>
        <w:rPr>
          <w:rFonts w:hint="eastAsia"/>
          <w:lang w:val="en-GB"/>
        </w:rPr>
        <w:t>1</w:t>
      </w:r>
      <w:r w:rsidR="00244AF4" w:rsidRPr="00244AF4">
        <w:rPr>
          <w:rFonts w:hint="eastAsia"/>
          <w:lang w:val="en-GB"/>
        </w:rPr>
        <w:t>0</w:t>
      </w:r>
      <w:r w:rsidR="00244AF4" w:rsidRPr="00244AF4">
        <w:rPr>
          <w:rFonts w:hint="eastAsia"/>
          <w:lang w:val="en-GB"/>
        </w:rPr>
        <w:t>项重大原则编排</w:t>
      </w:r>
      <w:r>
        <w:rPr>
          <w:rFonts w:hint="eastAsia"/>
          <w:lang w:val="en-GB"/>
        </w:rPr>
        <w:t>，</w:t>
      </w:r>
      <w:r w:rsidR="00244AF4" w:rsidRPr="00244AF4">
        <w:rPr>
          <w:rFonts w:hint="eastAsia"/>
          <w:lang w:val="en-GB"/>
        </w:rPr>
        <w:t>在每部分中先概述适用的国际标准。建议参考全球经验和教训制定。</w:t>
      </w:r>
    </w:p>
    <w:p w:rsidR="00244AF4" w:rsidRPr="00244AF4" w:rsidRDefault="00244AF4" w:rsidP="003C70F0">
      <w:pPr>
        <w:pStyle w:val="HChGC"/>
        <w:rPr>
          <w:lang w:val="en-GB"/>
        </w:rPr>
      </w:pPr>
      <w:bookmarkStart w:id="1" w:name="_Toc309730739"/>
      <w:bookmarkStart w:id="2" w:name="_Toc309730874"/>
      <w:bookmarkStart w:id="3" w:name="_Toc437525370"/>
      <w:bookmarkStart w:id="4" w:name="_Toc437529844"/>
      <w:bookmarkStart w:id="5" w:name="_Toc440290937"/>
      <w:r w:rsidRPr="00244AF4">
        <w:rPr>
          <w:lang w:val="en-GB"/>
        </w:rPr>
        <w:tab/>
      </w:r>
      <w:r w:rsidRPr="00244AF4">
        <w:rPr>
          <w:rFonts w:hint="eastAsia"/>
          <w:lang w:val="en-GB"/>
        </w:rPr>
        <w:t>二</w:t>
      </w:r>
      <w:r w:rsidRPr="00244AF4">
        <w:rPr>
          <w:lang w:val="en-GB"/>
        </w:rPr>
        <w:t>.</w:t>
      </w:r>
      <w:r w:rsidRPr="00244AF4">
        <w:rPr>
          <w:lang w:val="en-GB"/>
        </w:rPr>
        <w:tab/>
      </w:r>
      <w:bookmarkEnd w:id="1"/>
      <w:bookmarkEnd w:id="2"/>
      <w:bookmarkEnd w:id="3"/>
      <w:bookmarkEnd w:id="4"/>
      <w:bookmarkEnd w:id="5"/>
      <w:r w:rsidRPr="00244AF4">
        <w:rPr>
          <w:rFonts w:hint="eastAsia"/>
          <w:lang w:val="en-GB"/>
        </w:rPr>
        <w:t>集会的适当管理</w:t>
      </w:r>
    </w:p>
    <w:p w:rsidR="00244AF4" w:rsidRPr="00244AF4" w:rsidRDefault="004527D5" w:rsidP="00244AF4">
      <w:pPr>
        <w:pStyle w:val="SingleTxtGC"/>
      </w:pPr>
      <w:r>
        <w:t>5.</w:t>
      </w:r>
      <w:r w:rsidR="003C70F0">
        <w:t xml:space="preserve">  </w:t>
      </w:r>
      <w:r w:rsidR="00244AF4" w:rsidRPr="00244AF4">
        <w:rPr>
          <w:rFonts w:hint="eastAsia"/>
          <w:lang w:val="en-GB"/>
        </w:rPr>
        <w:t>集会和采取集体行动的能力对于民主、经济、社会和个人的发展以及表达想法和促进公民参与至关重要。集会可以对民主制度的发展作出积极贡献</w:t>
      </w:r>
      <w:r>
        <w:rPr>
          <w:rFonts w:hint="eastAsia"/>
          <w:lang w:val="en-GB"/>
        </w:rPr>
        <w:t>，</w:t>
      </w:r>
      <w:r w:rsidR="00244AF4" w:rsidRPr="00244AF4">
        <w:rPr>
          <w:rFonts w:hint="eastAsia"/>
          <w:lang w:val="en-GB"/>
        </w:rPr>
        <w:t>作为民主进程的一部分</w:t>
      </w:r>
      <w:r>
        <w:rPr>
          <w:rFonts w:hint="eastAsia"/>
          <w:lang w:val="en-GB"/>
        </w:rPr>
        <w:t>，</w:t>
      </w:r>
      <w:r w:rsidR="00244AF4" w:rsidRPr="00244AF4">
        <w:rPr>
          <w:rFonts w:hint="eastAsia"/>
          <w:lang w:val="en-GB"/>
        </w:rPr>
        <w:t>集会同选举在公众参与、追究政府责任和表达人民意愿过程中发挥着根本性作用。</w:t>
      </w:r>
    </w:p>
    <w:p w:rsidR="00244AF4" w:rsidRPr="00244AF4" w:rsidRDefault="004527D5" w:rsidP="00244AF4">
      <w:pPr>
        <w:pStyle w:val="SingleTxtGC"/>
      </w:pPr>
      <w:r>
        <w:t>6.</w:t>
      </w:r>
      <w:r w:rsidR="003C70F0">
        <w:t xml:space="preserve">  </w:t>
      </w:r>
      <w:r w:rsidR="00244AF4" w:rsidRPr="00244AF4">
        <w:rPr>
          <w:rFonts w:hint="eastAsia"/>
          <w:lang w:val="en-GB"/>
        </w:rPr>
        <w:t>集会还是体现社会、经济、政治、公民和文化权利的一种手段</w:t>
      </w:r>
      <w:r>
        <w:rPr>
          <w:rFonts w:hint="eastAsia"/>
          <w:lang w:val="en-GB"/>
        </w:rPr>
        <w:t>，</w:t>
      </w:r>
      <w:r w:rsidR="00244AF4" w:rsidRPr="00244AF4">
        <w:rPr>
          <w:rFonts w:hint="eastAsia"/>
          <w:lang w:val="en-GB"/>
        </w:rPr>
        <w:t>这意味着集会在保护和增进一系列广泛人权方面发挥着重要作用。集会有助于扩大被边缘化或代表既有政治和经济利益之外的非主流利益的人们的声音。集会不仅提供了与</w:t>
      </w:r>
      <w:r w:rsidR="00244AF4" w:rsidRPr="00244AF4">
        <w:rPr>
          <w:rFonts w:hint="eastAsia"/>
          <w:lang w:val="en-GB"/>
        </w:rPr>
        <w:lastRenderedPageBreak/>
        <w:t>国家进行接触的途径</w:t>
      </w:r>
      <w:r>
        <w:rPr>
          <w:rFonts w:hint="eastAsia"/>
          <w:lang w:val="en-GB"/>
        </w:rPr>
        <w:t>，</w:t>
      </w:r>
      <w:r w:rsidR="00244AF4" w:rsidRPr="00244AF4">
        <w:rPr>
          <w:rFonts w:hint="eastAsia"/>
          <w:lang w:val="en-GB"/>
        </w:rPr>
        <w:t>还提供了接触社会中掌握权力者</w:t>
      </w:r>
      <w:r>
        <w:rPr>
          <w:rFonts w:hint="eastAsia"/>
          <w:lang w:val="en-GB"/>
        </w:rPr>
        <w:t>，</w:t>
      </w:r>
      <w:r w:rsidR="00244AF4" w:rsidRPr="00244AF4">
        <w:rPr>
          <w:rFonts w:hint="eastAsia"/>
          <w:lang w:val="en-GB"/>
        </w:rPr>
        <w:t>包括公司及宗教、教育和文化机构</w:t>
      </w:r>
      <w:r>
        <w:rPr>
          <w:rFonts w:hint="eastAsia"/>
          <w:lang w:val="en-GB"/>
        </w:rPr>
        <w:t>，</w:t>
      </w:r>
      <w:r w:rsidR="00244AF4" w:rsidRPr="00244AF4">
        <w:rPr>
          <w:rFonts w:hint="eastAsia"/>
          <w:lang w:val="en-GB"/>
        </w:rPr>
        <w:t>以及一般公众舆论的途径。</w:t>
      </w:r>
    </w:p>
    <w:p w:rsidR="00244AF4" w:rsidRPr="00244AF4" w:rsidRDefault="004527D5" w:rsidP="00244AF4">
      <w:pPr>
        <w:pStyle w:val="SingleTxtGC"/>
      </w:pPr>
      <w:r>
        <w:t>7.</w:t>
      </w:r>
      <w:r w:rsidR="003C70F0">
        <w:t xml:space="preserve">  </w:t>
      </w:r>
      <w:r w:rsidR="00244AF4" w:rsidRPr="00244AF4">
        <w:rPr>
          <w:rFonts w:hint="eastAsia"/>
          <w:lang w:val="en-GB"/>
        </w:rPr>
        <w:t>只有在存在对公众</w:t>
      </w:r>
      <w:r>
        <w:rPr>
          <w:rFonts w:hint="eastAsia"/>
          <w:lang w:val="en-GB"/>
        </w:rPr>
        <w:t>(</w:t>
      </w:r>
      <w:r w:rsidR="00244AF4" w:rsidRPr="00244AF4">
        <w:rPr>
          <w:rFonts w:hint="eastAsia"/>
          <w:lang w:val="en-GB"/>
        </w:rPr>
        <w:t>包括民间社会和人权维护者</w:t>
      </w:r>
      <w:r>
        <w:rPr>
          <w:rFonts w:hint="eastAsia"/>
          <w:lang w:val="en-GB"/>
        </w:rPr>
        <w:t>)</w:t>
      </w:r>
      <w:r w:rsidR="00244AF4" w:rsidRPr="00244AF4">
        <w:rPr>
          <w:rFonts w:hint="eastAsia"/>
          <w:lang w:val="en-GB"/>
        </w:rPr>
        <w:t>有利和安全的环境以及使用公众参与场所不受过度和不合理限制的情况下</w:t>
      </w:r>
      <w:r>
        <w:rPr>
          <w:rFonts w:hint="eastAsia"/>
          <w:lang w:val="en-GB"/>
        </w:rPr>
        <w:t>，</w:t>
      </w:r>
      <w:r w:rsidR="00244AF4" w:rsidRPr="00244AF4">
        <w:rPr>
          <w:rFonts w:hint="eastAsia"/>
          <w:lang w:val="en-GB"/>
        </w:rPr>
        <w:t>人们才有可能充分和自由地行使和平集会自由权。成立和运作协会方面的障碍、不能有效保护行使和维护人权者免遭报复、对违法行为的过度和不当处罚以及对使用公共场所的不合理限制都对和平集会自由权有着负面影响。</w:t>
      </w:r>
    </w:p>
    <w:p w:rsidR="00244AF4" w:rsidRPr="00244AF4" w:rsidRDefault="004527D5" w:rsidP="00244AF4">
      <w:pPr>
        <w:pStyle w:val="SingleTxtGC"/>
      </w:pPr>
      <w:r>
        <w:t>8.</w:t>
      </w:r>
      <w:r w:rsidR="003C70F0">
        <w:t xml:space="preserve">  </w:t>
      </w:r>
      <w:r w:rsidR="00244AF4" w:rsidRPr="00244AF4">
        <w:rPr>
          <w:rFonts w:hint="eastAsia"/>
          <w:lang w:val="en-GB"/>
        </w:rPr>
        <w:t>对集会进行适当管理要求当事各方保护和享有一系列广泛权利。参与集会者享有一些受保护的权利</w:t>
      </w:r>
      <w:r>
        <w:rPr>
          <w:rFonts w:hint="eastAsia"/>
          <w:lang w:val="en-GB"/>
        </w:rPr>
        <w:t>，</w:t>
      </w:r>
      <w:r w:rsidR="00244AF4" w:rsidRPr="00244AF4">
        <w:rPr>
          <w:rFonts w:hint="eastAsia"/>
          <w:lang w:val="en-GB"/>
        </w:rPr>
        <w:t>包括以下权利</w:t>
      </w:r>
      <w:r>
        <w:rPr>
          <w:rFonts w:hint="eastAsia"/>
          <w:lang w:val="en-GB"/>
        </w:rPr>
        <w:t>：</w:t>
      </w:r>
      <w:r w:rsidR="00244AF4" w:rsidRPr="00244AF4">
        <w:rPr>
          <w:rFonts w:hint="eastAsia"/>
          <w:lang w:val="en-GB"/>
        </w:rPr>
        <w:t>和平集会自由、言论自由、结社自由和信仰自由</w:t>
      </w:r>
      <w:r>
        <w:rPr>
          <w:rFonts w:hint="eastAsia"/>
          <w:lang w:val="en-GB"/>
        </w:rPr>
        <w:t>；</w:t>
      </w:r>
      <w:r w:rsidR="00244AF4" w:rsidRPr="00244AF4">
        <w:rPr>
          <w:rFonts w:hint="eastAsia"/>
          <w:lang w:val="en-GB"/>
        </w:rPr>
        <w:t>参与公共事务</w:t>
      </w:r>
      <w:r>
        <w:rPr>
          <w:rFonts w:hint="eastAsia"/>
          <w:lang w:val="en-GB"/>
        </w:rPr>
        <w:t>；</w:t>
      </w:r>
      <w:r w:rsidR="00244AF4" w:rsidRPr="00244AF4">
        <w:rPr>
          <w:rFonts w:hint="eastAsia"/>
          <w:lang w:val="en-GB"/>
        </w:rPr>
        <w:t>人身健全</w:t>
      </w:r>
      <w:r>
        <w:rPr>
          <w:rFonts w:hint="eastAsia"/>
          <w:lang w:val="en-GB"/>
        </w:rPr>
        <w:t>(</w:t>
      </w:r>
      <w:r w:rsidR="00244AF4" w:rsidRPr="00244AF4">
        <w:rPr>
          <w:rFonts w:hint="eastAsia"/>
          <w:lang w:val="en-GB"/>
        </w:rPr>
        <w:t>包括安全权、免受残忍、不人道或有辱人格待遇或处罚权以及生命权</w:t>
      </w:r>
      <w:r>
        <w:rPr>
          <w:rFonts w:hint="eastAsia"/>
          <w:lang w:val="en-GB"/>
        </w:rPr>
        <w:t>)</w:t>
      </w:r>
      <w:r>
        <w:rPr>
          <w:rFonts w:hint="eastAsia"/>
          <w:lang w:val="en-GB"/>
        </w:rPr>
        <w:t>；</w:t>
      </w:r>
      <w:r w:rsidR="00244AF4" w:rsidRPr="00244AF4">
        <w:rPr>
          <w:rFonts w:hint="eastAsia"/>
          <w:lang w:val="en-GB"/>
        </w:rPr>
        <w:t>尊严</w:t>
      </w:r>
      <w:r>
        <w:rPr>
          <w:rFonts w:hint="eastAsia"/>
          <w:lang w:val="en-GB"/>
        </w:rPr>
        <w:t>；</w:t>
      </w:r>
      <w:r w:rsidR="00244AF4" w:rsidRPr="00244AF4">
        <w:rPr>
          <w:rFonts w:hint="eastAsia"/>
          <w:lang w:val="en-GB"/>
        </w:rPr>
        <w:t>隐私以及对所有侵犯人权行为的有效补救。</w:t>
      </w:r>
    </w:p>
    <w:p w:rsidR="00244AF4" w:rsidRPr="00244AF4" w:rsidRDefault="004527D5" w:rsidP="00244AF4">
      <w:pPr>
        <w:pStyle w:val="SingleTxtGC"/>
      </w:pPr>
      <w:r>
        <w:t>9.</w:t>
      </w:r>
      <w:r w:rsidR="003C70F0">
        <w:t xml:space="preserve">  </w:t>
      </w:r>
      <w:r w:rsidR="00244AF4" w:rsidRPr="00244AF4">
        <w:rPr>
          <w:rFonts w:hint="eastAsia"/>
          <w:lang w:val="en-GB"/>
        </w:rPr>
        <w:t>即使集会参与者不是和平的并因而丧失了他们的和平集会权</w:t>
      </w:r>
      <w:r>
        <w:rPr>
          <w:rFonts w:hint="eastAsia"/>
          <w:lang w:val="en-GB"/>
        </w:rPr>
        <w:t>，</w:t>
      </w:r>
      <w:r w:rsidR="00244AF4" w:rsidRPr="00244AF4">
        <w:rPr>
          <w:rFonts w:hint="eastAsia"/>
          <w:lang w:val="en-GB"/>
        </w:rPr>
        <w:t>他们依然保留其他所有权利</w:t>
      </w:r>
      <w:r>
        <w:rPr>
          <w:rFonts w:hint="eastAsia"/>
          <w:lang w:val="en-GB"/>
        </w:rPr>
        <w:t>，</w:t>
      </w:r>
      <w:r w:rsidR="00244AF4" w:rsidRPr="00244AF4">
        <w:rPr>
          <w:rFonts w:hint="eastAsia"/>
          <w:lang w:val="en-GB"/>
        </w:rPr>
        <w:t>但要受到一些正常限制。因此</w:t>
      </w:r>
      <w:r>
        <w:rPr>
          <w:rFonts w:hint="eastAsia"/>
          <w:lang w:val="en-GB"/>
        </w:rPr>
        <w:t>，</w:t>
      </w:r>
      <w:r w:rsidR="00244AF4" w:rsidRPr="00244AF4">
        <w:rPr>
          <w:rFonts w:hint="eastAsia"/>
          <w:lang w:val="en-GB"/>
        </w:rPr>
        <w:t>任何集会都不应被视为不受保护。</w:t>
      </w:r>
    </w:p>
    <w:p w:rsidR="00244AF4" w:rsidRPr="00244AF4" w:rsidRDefault="004527D5" w:rsidP="00244AF4">
      <w:pPr>
        <w:pStyle w:val="SingleTxtGC"/>
      </w:pPr>
      <w:r>
        <w:t>10.</w:t>
      </w:r>
      <w:r w:rsidR="003C70F0">
        <w:t xml:space="preserve">  </w:t>
      </w:r>
      <w:r w:rsidR="00244AF4" w:rsidRPr="00244AF4">
        <w:rPr>
          <w:rFonts w:hint="eastAsia"/>
          <w:lang w:val="en-GB"/>
        </w:rPr>
        <w:t>一般认为</w:t>
      </w:r>
      <w:r>
        <w:rPr>
          <w:rFonts w:hint="eastAsia"/>
          <w:lang w:val="en-GB"/>
        </w:rPr>
        <w:t>，“</w:t>
      </w:r>
      <w:r w:rsidR="00244AF4" w:rsidRPr="00244AF4">
        <w:rPr>
          <w:rFonts w:hint="eastAsia"/>
          <w:lang w:val="en-GB"/>
        </w:rPr>
        <w:t>集会</w:t>
      </w:r>
      <w:r>
        <w:rPr>
          <w:rFonts w:hint="eastAsia"/>
          <w:lang w:val="en-GB"/>
        </w:rPr>
        <w:t>”</w:t>
      </w:r>
      <w:r w:rsidR="00244AF4" w:rsidRPr="00244AF4">
        <w:rPr>
          <w:rFonts w:hint="eastAsia"/>
          <w:lang w:val="en-GB"/>
        </w:rPr>
        <w:t>是指出于特定目的在私人或公共场所进行有意和临时的聚集</w:t>
      </w:r>
      <w:r>
        <w:rPr>
          <w:rFonts w:hint="eastAsia"/>
          <w:lang w:val="en-GB"/>
        </w:rPr>
        <w:t>，</w:t>
      </w:r>
      <w:r w:rsidR="00244AF4" w:rsidRPr="00244AF4">
        <w:rPr>
          <w:rFonts w:hint="eastAsia"/>
          <w:lang w:val="en-GB"/>
        </w:rPr>
        <w:t>可采取的形式包括示威、会议、罢工、游行、集会或静坐</w:t>
      </w:r>
      <w:r>
        <w:rPr>
          <w:rFonts w:hint="eastAsia"/>
          <w:lang w:val="en-GB"/>
        </w:rPr>
        <w:t>，</w:t>
      </w:r>
      <w:r w:rsidR="00244AF4" w:rsidRPr="00244AF4">
        <w:rPr>
          <w:rFonts w:hint="eastAsia"/>
          <w:lang w:val="en-GB"/>
        </w:rPr>
        <w:t>目的是表达不满和愿望或促进庆祝活动</w:t>
      </w:r>
      <w:r>
        <w:rPr>
          <w:rFonts w:hint="eastAsia"/>
          <w:lang w:val="en-GB"/>
        </w:rPr>
        <w:t>(</w:t>
      </w:r>
      <w:r w:rsidR="00244AF4" w:rsidRPr="00244AF4">
        <w:rPr>
          <w:rFonts w:hint="eastAsia"/>
          <w:lang w:val="en-GB"/>
        </w:rPr>
        <w:t>见</w:t>
      </w:r>
      <w:r>
        <w:rPr>
          <w:lang w:val="en-GB"/>
        </w:rPr>
        <w:t>A/HRC/2</w:t>
      </w:r>
      <w:r w:rsidR="00244AF4" w:rsidRPr="00244AF4">
        <w:rPr>
          <w:lang w:val="en-GB"/>
        </w:rPr>
        <w:t>0</w:t>
      </w:r>
      <w:r>
        <w:rPr>
          <w:lang w:val="en-GB"/>
        </w:rPr>
        <w:t>/27,</w:t>
      </w:r>
      <w:r w:rsidR="00244AF4" w:rsidRPr="00244AF4">
        <w:rPr>
          <w:rFonts w:hint="eastAsia"/>
          <w:lang w:val="en-GB"/>
        </w:rPr>
        <w:t xml:space="preserve"> </w:t>
      </w:r>
      <w:r w:rsidR="00244AF4" w:rsidRPr="00244AF4">
        <w:rPr>
          <w:rFonts w:hint="eastAsia"/>
          <w:lang w:val="en-GB"/>
        </w:rPr>
        <w:t>第</w:t>
      </w:r>
      <w:r>
        <w:rPr>
          <w:lang w:val="en-GB"/>
        </w:rPr>
        <w:t>24</w:t>
      </w:r>
      <w:r w:rsidR="00244AF4" w:rsidRPr="00244AF4">
        <w:rPr>
          <w:rFonts w:hint="eastAsia"/>
          <w:lang w:val="en-GB"/>
        </w:rPr>
        <w:t>段</w:t>
      </w:r>
      <w:r>
        <w:rPr>
          <w:rFonts w:hint="eastAsia"/>
          <w:lang w:val="en-GB"/>
        </w:rPr>
        <w:t>)</w:t>
      </w:r>
      <w:r w:rsidR="00244AF4" w:rsidRPr="00244AF4">
        <w:rPr>
          <w:rFonts w:hint="eastAsia"/>
          <w:lang w:val="en-GB"/>
        </w:rPr>
        <w:t>。甚至还可能包括体育赛事、音乐会和其他此类聚会。集会虽被界定为临时聚集</w:t>
      </w:r>
      <w:r>
        <w:rPr>
          <w:rFonts w:hint="eastAsia"/>
          <w:lang w:val="en-GB"/>
        </w:rPr>
        <w:t>，</w:t>
      </w:r>
      <w:r w:rsidR="00244AF4" w:rsidRPr="00244AF4">
        <w:rPr>
          <w:rFonts w:hint="eastAsia"/>
          <w:lang w:val="en-GB"/>
        </w:rPr>
        <w:t>但也可能包括长期示威</w:t>
      </w:r>
      <w:r>
        <w:rPr>
          <w:rFonts w:hint="eastAsia"/>
          <w:lang w:val="en-GB"/>
        </w:rPr>
        <w:t>，</w:t>
      </w:r>
      <w:r w:rsidR="00244AF4" w:rsidRPr="00244AF4">
        <w:rPr>
          <w:rFonts w:hint="eastAsia"/>
          <w:lang w:val="en-GB"/>
        </w:rPr>
        <w:t>包括长期静坐和</w:t>
      </w:r>
      <w:r>
        <w:rPr>
          <w:rFonts w:hint="eastAsia"/>
          <w:lang w:val="en-GB"/>
        </w:rPr>
        <w:t>“</w:t>
      </w:r>
      <w:r w:rsidR="00244AF4" w:rsidRPr="00244AF4">
        <w:rPr>
          <w:rFonts w:hint="eastAsia"/>
          <w:lang w:val="en-GB"/>
        </w:rPr>
        <w:t>占领</w:t>
      </w:r>
      <w:r>
        <w:rPr>
          <w:rFonts w:hint="eastAsia"/>
          <w:lang w:val="en-GB"/>
        </w:rPr>
        <w:t>”</w:t>
      </w:r>
      <w:r w:rsidR="00244AF4" w:rsidRPr="00244AF4">
        <w:rPr>
          <w:rFonts w:hint="eastAsia"/>
          <w:lang w:val="en-GB"/>
        </w:rPr>
        <w:t>式示威活动。虽然集会一般被认为是人的实际聚集</w:t>
      </w:r>
      <w:r>
        <w:rPr>
          <w:rFonts w:hint="eastAsia"/>
          <w:lang w:val="en-GB"/>
        </w:rPr>
        <w:t>，</w:t>
      </w:r>
      <w:r w:rsidR="00244AF4" w:rsidRPr="00244AF4">
        <w:rPr>
          <w:rFonts w:hint="eastAsia"/>
          <w:lang w:val="en-GB"/>
        </w:rPr>
        <w:t>但人们也承认</w:t>
      </w:r>
      <w:r>
        <w:rPr>
          <w:rFonts w:hint="eastAsia"/>
          <w:lang w:val="en-GB"/>
        </w:rPr>
        <w:t>，</w:t>
      </w:r>
      <w:r w:rsidR="00244AF4" w:rsidRPr="00244AF4">
        <w:rPr>
          <w:rFonts w:hint="eastAsia"/>
          <w:lang w:val="en-GB"/>
        </w:rPr>
        <w:t>对人权</w:t>
      </w:r>
      <w:r>
        <w:rPr>
          <w:rFonts w:hint="eastAsia"/>
          <w:lang w:val="en-GB"/>
        </w:rPr>
        <w:t>，</w:t>
      </w:r>
      <w:r w:rsidR="00244AF4" w:rsidRPr="00244AF4">
        <w:rPr>
          <w:rFonts w:hint="eastAsia"/>
          <w:lang w:val="en-GB"/>
        </w:rPr>
        <w:t>包括集会自由权的保护也适用于发生在网络上的类似互动。</w:t>
      </w:r>
    </w:p>
    <w:p w:rsidR="00244AF4" w:rsidRPr="00244AF4" w:rsidRDefault="004527D5" w:rsidP="00244AF4">
      <w:pPr>
        <w:pStyle w:val="SingleTxtGC"/>
      </w:pPr>
      <w:r>
        <w:t>11.</w:t>
      </w:r>
      <w:r w:rsidR="003C70F0">
        <w:t xml:space="preserve">  </w:t>
      </w:r>
      <w:r w:rsidR="00244AF4" w:rsidRPr="00244AF4">
        <w:rPr>
          <w:rFonts w:hint="eastAsia"/>
          <w:lang w:val="en-GB"/>
        </w:rPr>
        <w:t>建议的重点是表达共同立场、不满、愿望或身份的集会</w:t>
      </w:r>
      <w:r>
        <w:rPr>
          <w:rFonts w:hint="eastAsia"/>
          <w:lang w:val="en-GB"/>
        </w:rPr>
        <w:t>，</w:t>
      </w:r>
      <w:r w:rsidR="00244AF4" w:rsidRPr="00244AF4">
        <w:rPr>
          <w:rFonts w:hint="eastAsia"/>
          <w:lang w:val="en-GB"/>
        </w:rPr>
        <w:t>以及背离主流立场或挑战既定政治、社会、文化或经济利益的集会。特别报告员在采用这一方针时遵循人权理事会第</w:t>
      </w:r>
      <w:r>
        <w:rPr>
          <w:lang w:val="en-GB"/>
        </w:rPr>
        <w:t>25/38</w:t>
      </w:r>
      <w:r w:rsidR="00244AF4" w:rsidRPr="00244AF4">
        <w:rPr>
          <w:lang w:val="en-GB"/>
        </w:rPr>
        <w:t>号决议的语言</w:t>
      </w:r>
      <w:r>
        <w:rPr>
          <w:rFonts w:hint="eastAsia"/>
          <w:lang w:val="en-GB"/>
        </w:rPr>
        <w:t>，</w:t>
      </w:r>
      <w:r w:rsidR="00244AF4" w:rsidRPr="00244AF4">
        <w:rPr>
          <w:rFonts w:hint="eastAsia"/>
          <w:lang w:val="en-GB"/>
        </w:rPr>
        <w:t>理事会在决议中明确提及在和平抗议的背景下增进和保护人权。但应注意</w:t>
      </w:r>
      <w:r>
        <w:rPr>
          <w:rFonts w:hint="eastAsia"/>
          <w:lang w:val="en-GB"/>
        </w:rPr>
        <w:t>，</w:t>
      </w:r>
      <w:r w:rsidR="00244AF4" w:rsidRPr="00244AF4">
        <w:rPr>
          <w:rFonts w:hint="eastAsia"/>
          <w:lang w:val="en-GB"/>
        </w:rPr>
        <w:t>集会参与者享有的任何权利都决不取决于该集会所表达的政治或其他内容。</w:t>
      </w:r>
    </w:p>
    <w:p w:rsidR="00244AF4" w:rsidRPr="00244AF4" w:rsidRDefault="004527D5" w:rsidP="00244AF4">
      <w:pPr>
        <w:pStyle w:val="SingleTxtGC"/>
      </w:pPr>
      <w:r>
        <w:t>12.</w:t>
      </w:r>
      <w:r w:rsidR="003C70F0">
        <w:t xml:space="preserve">  </w:t>
      </w:r>
      <w:r w:rsidR="00244AF4" w:rsidRPr="00244AF4">
        <w:rPr>
          <w:lang w:val="en-GB"/>
        </w:rPr>
        <w:t>理事会在该决议中请两位特别报告员侧重各种集会</w:t>
      </w:r>
      <w:r>
        <w:rPr>
          <w:rFonts w:hint="eastAsia"/>
          <w:lang w:val="en-GB"/>
        </w:rPr>
        <w:t>，</w:t>
      </w:r>
      <w:r w:rsidR="00244AF4" w:rsidRPr="00244AF4">
        <w:rPr>
          <w:lang w:val="en-GB"/>
        </w:rPr>
        <w:t>而不是仅限于和平集会</w:t>
      </w:r>
      <w:r w:rsidR="00244AF4" w:rsidRPr="00244AF4">
        <w:rPr>
          <w:rFonts w:hint="eastAsia"/>
          <w:lang w:val="en-GB"/>
        </w:rPr>
        <w:t>。</w:t>
      </w:r>
      <w:r w:rsidR="00244AF4" w:rsidRPr="00244AF4">
        <w:rPr>
          <w:lang w:val="en-GB"/>
        </w:rPr>
        <w:t>因此</w:t>
      </w:r>
      <w:r>
        <w:rPr>
          <w:rFonts w:hint="eastAsia"/>
          <w:lang w:val="en-GB"/>
        </w:rPr>
        <w:t>，</w:t>
      </w:r>
      <w:r w:rsidR="00244AF4" w:rsidRPr="00244AF4">
        <w:rPr>
          <w:lang w:val="en-GB"/>
        </w:rPr>
        <w:t>本报告涵盖和平与非和平集会</w:t>
      </w:r>
      <w:r w:rsidR="00244AF4" w:rsidRPr="00244AF4">
        <w:rPr>
          <w:rFonts w:hint="eastAsia"/>
          <w:lang w:val="en-GB"/>
        </w:rPr>
        <w:t>。</w:t>
      </w:r>
    </w:p>
    <w:p w:rsidR="0009265E" w:rsidRDefault="004527D5" w:rsidP="00244AF4">
      <w:pPr>
        <w:pStyle w:val="SingleTxtGC"/>
        <w:rPr>
          <w:lang w:val="en-GB"/>
        </w:rPr>
      </w:pPr>
      <w:r>
        <w:t>13.</w:t>
      </w:r>
      <w:r w:rsidR="003C70F0">
        <w:t xml:space="preserve">  </w:t>
      </w:r>
      <w:r w:rsidR="00244AF4" w:rsidRPr="00244AF4">
        <w:rPr>
          <w:lang w:val="en-GB"/>
        </w:rPr>
        <w:t>各国有义务避免侵犯参与集会的个人的权利</w:t>
      </w:r>
      <w:r>
        <w:rPr>
          <w:rFonts w:hint="eastAsia"/>
          <w:lang w:val="en-GB"/>
        </w:rPr>
        <w:t>，</w:t>
      </w:r>
      <w:r w:rsidR="00244AF4" w:rsidRPr="00244AF4">
        <w:rPr>
          <w:lang w:val="en-GB"/>
        </w:rPr>
        <w:t>更有义务确保参与集会和受集会影响的人的权利</w:t>
      </w:r>
      <w:r w:rsidR="00244AF4" w:rsidRPr="00244AF4">
        <w:rPr>
          <w:rFonts w:hint="eastAsia"/>
          <w:lang w:val="en-GB"/>
        </w:rPr>
        <w:t>并营造</w:t>
      </w:r>
      <w:r w:rsidR="00244AF4" w:rsidRPr="00244AF4">
        <w:rPr>
          <w:lang w:val="en-GB"/>
        </w:rPr>
        <w:t>有利环境</w:t>
      </w:r>
      <w:r w:rsidR="00244AF4" w:rsidRPr="00244AF4">
        <w:rPr>
          <w:rFonts w:hint="eastAsia"/>
          <w:lang w:val="en-GB"/>
        </w:rPr>
        <w:t>。</w:t>
      </w:r>
      <w:r w:rsidR="00244AF4" w:rsidRPr="00244AF4">
        <w:rPr>
          <w:lang w:val="en-GB"/>
        </w:rPr>
        <w:t>因此</w:t>
      </w:r>
      <w:r>
        <w:rPr>
          <w:rFonts w:hint="eastAsia"/>
          <w:lang w:val="en-GB"/>
        </w:rPr>
        <w:t>，</w:t>
      </w:r>
      <w:r w:rsidR="00244AF4" w:rsidRPr="00244AF4">
        <w:rPr>
          <w:lang w:val="en-GB"/>
        </w:rPr>
        <w:t>集会管理包括提供便利和条件</w:t>
      </w:r>
      <w:r>
        <w:rPr>
          <w:rFonts w:hint="eastAsia"/>
          <w:lang w:val="en-GB"/>
        </w:rPr>
        <w:t>，</w:t>
      </w:r>
      <w:r w:rsidR="00244AF4" w:rsidRPr="00244AF4">
        <w:rPr>
          <w:rFonts w:hint="eastAsia"/>
          <w:lang w:val="en-GB"/>
        </w:rPr>
        <w:t>这种宽泛的解读贯穿以下各项建议。</w:t>
      </w:r>
    </w:p>
    <w:p w:rsidR="0009265E" w:rsidRDefault="0009265E">
      <w:pPr>
        <w:tabs>
          <w:tab w:val="clear" w:pos="431"/>
        </w:tabs>
        <w:overflowPunct/>
        <w:adjustRightInd/>
        <w:snapToGrid/>
        <w:spacing w:line="240" w:lineRule="auto"/>
        <w:jc w:val="left"/>
        <w:rPr>
          <w:lang w:val="en-GB"/>
        </w:rPr>
      </w:pPr>
      <w:r>
        <w:rPr>
          <w:lang w:val="en-GB"/>
        </w:rPr>
        <w:br w:type="page"/>
      </w:r>
    </w:p>
    <w:p w:rsidR="00244AF4" w:rsidRPr="00244AF4" w:rsidRDefault="00244AF4" w:rsidP="0009265E">
      <w:pPr>
        <w:pStyle w:val="H1GC"/>
        <w:rPr>
          <w:lang w:val="en-GB"/>
        </w:rPr>
      </w:pPr>
      <w:bookmarkStart w:id="6" w:name="_Toc309730740"/>
      <w:bookmarkStart w:id="7" w:name="_Toc309730875"/>
      <w:bookmarkStart w:id="8" w:name="_Toc437525371"/>
      <w:bookmarkStart w:id="9" w:name="_Toc437529845"/>
      <w:bookmarkStart w:id="10" w:name="_Toc440290938"/>
      <w:r w:rsidRPr="00244AF4">
        <w:rPr>
          <w:lang w:val="en-GB"/>
        </w:rPr>
        <w:lastRenderedPageBreak/>
        <w:tab/>
      </w:r>
      <w:r w:rsidR="004527D5">
        <w:rPr>
          <w:lang w:val="en-GB"/>
        </w:rPr>
        <w:t>A</w:t>
      </w:r>
      <w:r w:rsidRPr="00244AF4">
        <w:rPr>
          <w:lang w:val="en-GB"/>
        </w:rPr>
        <w:t>.</w:t>
      </w:r>
      <w:r w:rsidRPr="00244AF4">
        <w:rPr>
          <w:lang w:val="en-GB"/>
        </w:rPr>
        <w:tab/>
      </w:r>
      <w:bookmarkEnd w:id="6"/>
      <w:bookmarkEnd w:id="7"/>
      <w:bookmarkEnd w:id="8"/>
      <w:bookmarkEnd w:id="9"/>
      <w:bookmarkEnd w:id="10"/>
      <w:r w:rsidRPr="00244AF4">
        <w:rPr>
          <w:rFonts w:hint="eastAsia"/>
          <w:lang w:val="en-GB"/>
        </w:rPr>
        <w:t>各国应尊重和确保集会参与者的各项权利</w:t>
      </w:r>
    </w:p>
    <w:p w:rsidR="00244AF4" w:rsidRPr="00244AF4" w:rsidRDefault="004527D5" w:rsidP="00244AF4">
      <w:pPr>
        <w:pStyle w:val="SingleTxtGC"/>
      </w:pPr>
      <w:r>
        <w:t>14.</w:t>
      </w:r>
      <w:r w:rsidR="003C70F0">
        <w:t xml:space="preserve">  </w:t>
      </w:r>
      <w:r w:rsidR="00244AF4" w:rsidRPr="00244AF4">
        <w:rPr>
          <w:rFonts w:hint="eastAsia"/>
          <w:lang w:val="en-GB"/>
        </w:rPr>
        <w:t>国际法要求各国尊重和确保所有个人的权利。尊重权利的义务意味着在国际法没有明确允许的情况下</w:t>
      </w:r>
      <w:r>
        <w:rPr>
          <w:rFonts w:hint="eastAsia"/>
          <w:lang w:val="en-GB"/>
        </w:rPr>
        <w:t>，</w:t>
      </w:r>
      <w:r w:rsidR="00244AF4" w:rsidRPr="00244AF4">
        <w:rPr>
          <w:rFonts w:hint="eastAsia"/>
          <w:lang w:val="en-GB"/>
        </w:rPr>
        <w:t>各国必须避免限制权利的行使。有义务确保是一项积极责任</w:t>
      </w:r>
      <w:r>
        <w:rPr>
          <w:rFonts w:hint="eastAsia"/>
          <w:lang w:val="en-GB"/>
        </w:rPr>
        <w:t>，</w:t>
      </w:r>
      <w:r w:rsidR="00244AF4" w:rsidRPr="00244AF4">
        <w:rPr>
          <w:rFonts w:hint="eastAsia"/>
          <w:lang w:val="en-GB"/>
        </w:rPr>
        <w:t>要求各国实现和保护权利。</w:t>
      </w:r>
      <w:r w:rsidR="00244AF4" w:rsidRPr="006A5AF9">
        <w:rPr>
          <w:color w:val="0000FF"/>
          <w:vertAlign w:val="superscript"/>
          <w:lang w:val="en-GB"/>
        </w:rPr>
        <w:footnoteReference w:id="7"/>
      </w:r>
      <w:r w:rsidR="00244AF4" w:rsidRPr="00244AF4">
        <w:rPr>
          <w:rFonts w:hint="eastAsia"/>
          <w:lang w:val="en-GB"/>
        </w:rPr>
        <w:t xml:space="preserve"> </w:t>
      </w:r>
      <w:r w:rsidR="00244AF4" w:rsidRPr="00244AF4">
        <w:rPr>
          <w:rFonts w:hint="eastAsia"/>
          <w:lang w:val="en-GB"/>
        </w:rPr>
        <w:t>保护权利保护要求采取积极措施</w:t>
      </w:r>
      <w:r>
        <w:rPr>
          <w:rFonts w:hint="eastAsia"/>
          <w:lang w:val="en-GB"/>
        </w:rPr>
        <w:t>，</w:t>
      </w:r>
      <w:r w:rsidR="00244AF4" w:rsidRPr="00244AF4">
        <w:rPr>
          <w:rFonts w:hint="eastAsia"/>
          <w:lang w:val="en-GB"/>
        </w:rPr>
        <w:t>防止非国家行为者采取可能妨碍权利行使的行动。实现权利要求各国创造、促进或提供享有权利的必要条件。</w:t>
      </w:r>
    </w:p>
    <w:p w:rsidR="00244AF4" w:rsidRPr="00244AF4" w:rsidRDefault="004527D5" w:rsidP="00244AF4">
      <w:pPr>
        <w:pStyle w:val="SingleTxtGC"/>
      </w:pPr>
      <w:r>
        <w:t>15.</w:t>
      </w:r>
      <w:r w:rsidR="003C70F0">
        <w:t xml:space="preserve">  </w:t>
      </w:r>
      <w:r w:rsidR="00244AF4" w:rsidRPr="00244AF4">
        <w:rPr>
          <w:rFonts w:hint="eastAsia"/>
          <w:lang w:val="en-GB"/>
        </w:rPr>
        <w:t>各国必须尊重和确保权利</w:t>
      </w:r>
      <w:r>
        <w:rPr>
          <w:rFonts w:hint="eastAsia"/>
          <w:lang w:val="en-GB"/>
        </w:rPr>
        <w:t>，</w:t>
      </w:r>
      <w:r w:rsidR="00244AF4" w:rsidRPr="00244AF4">
        <w:rPr>
          <w:rFonts w:hint="eastAsia"/>
          <w:lang w:val="en-GB"/>
        </w:rPr>
        <w:t>不以种族、肤色、性别、语言、宗教、政治或其他见解、国籍或社会出身、财产、出生或其他身份等被禁止的理由而加以歧视</w:t>
      </w:r>
      <w:r>
        <w:rPr>
          <w:rFonts w:hint="eastAsia"/>
          <w:lang w:val="en-GB"/>
        </w:rPr>
        <w:t>，</w:t>
      </w:r>
      <w:r w:rsidR="00244AF4" w:rsidRPr="00244AF4">
        <w:rPr>
          <w:rFonts w:hint="eastAsia"/>
          <w:lang w:val="en-GB"/>
        </w:rPr>
        <w:t>包括。必须保障个人、群体、未注册社团、法律实体和公司法人享有组织和参与公共集会的自由。</w:t>
      </w:r>
      <w:r w:rsidR="00244AF4" w:rsidRPr="006A5AF9">
        <w:rPr>
          <w:color w:val="0000FF"/>
          <w:vertAlign w:val="superscript"/>
          <w:lang w:val="en-GB"/>
        </w:rPr>
        <w:footnoteReference w:id="8"/>
      </w:r>
    </w:p>
    <w:p w:rsidR="00244AF4" w:rsidRPr="00244AF4" w:rsidRDefault="004527D5" w:rsidP="00244AF4">
      <w:pPr>
        <w:pStyle w:val="SingleTxtGC"/>
      </w:pPr>
      <w:r>
        <w:t>16.</w:t>
      </w:r>
      <w:r w:rsidR="003C70F0">
        <w:t xml:space="preserve">  </w:t>
      </w:r>
      <w:r w:rsidR="00244AF4" w:rsidRPr="00244AF4">
        <w:rPr>
          <w:rFonts w:hint="eastAsia"/>
          <w:lang w:val="en-GB"/>
        </w:rPr>
        <w:t>应特别努力确保历史上遭受歧视的群体或个人的权利得到平等和有效的保护。这包括妇女、儿童和青年、残疾人、外国人</w:t>
      </w:r>
      <w:r>
        <w:rPr>
          <w:rFonts w:hint="eastAsia"/>
          <w:lang w:val="en-GB"/>
        </w:rPr>
        <w:t>(</w:t>
      </w:r>
      <w:r w:rsidR="00244AF4" w:rsidRPr="00244AF4">
        <w:rPr>
          <w:rFonts w:hint="eastAsia"/>
          <w:lang w:val="en-GB"/>
        </w:rPr>
        <w:t>包括寻求庇护者和难民</w:t>
      </w:r>
      <w:r>
        <w:rPr>
          <w:rFonts w:hint="eastAsia"/>
          <w:lang w:val="en-GB"/>
        </w:rPr>
        <w:t>)</w:t>
      </w:r>
      <w:r w:rsidR="00244AF4" w:rsidRPr="00244AF4">
        <w:rPr>
          <w:rFonts w:hint="eastAsia"/>
          <w:lang w:val="en-GB"/>
        </w:rPr>
        <w:t>、少数民族和宗教少数群体成员、流离失所者、白化病患者、土著人民和因性取向或性别认同而受到歧视的人</w:t>
      </w:r>
      <w:r>
        <w:rPr>
          <w:rFonts w:hint="eastAsia"/>
          <w:lang w:val="en-GB"/>
        </w:rPr>
        <w:t>(A/HRC/26/29)</w:t>
      </w:r>
      <w:r w:rsidR="00244AF4" w:rsidRPr="00244AF4">
        <w:rPr>
          <w:rFonts w:hint="eastAsia"/>
          <w:lang w:val="en-GB"/>
        </w:rPr>
        <w:t>。这一义务可能要求主管部门采取进一步措施</w:t>
      </w:r>
      <w:r>
        <w:rPr>
          <w:rFonts w:hint="eastAsia"/>
          <w:lang w:val="en-GB"/>
        </w:rPr>
        <w:t>，</w:t>
      </w:r>
      <w:r w:rsidR="00244AF4" w:rsidRPr="00244AF4">
        <w:rPr>
          <w:rFonts w:hint="eastAsia"/>
          <w:lang w:val="en-GB"/>
        </w:rPr>
        <w:t>保护和促进这些群体行使集会自由权。</w:t>
      </w:r>
    </w:p>
    <w:p w:rsidR="00244AF4" w:rsidRPr="00DE0653" w:rsidRDefault="004527D5" w:rsidP="00244AF4">
      <w:pPr>
        <w:pStyle w:val="SingleTxtGC"/>
        <w:rPr>
          <w:rFonts w:eastAsia="SimHei"/>
        </w:rPr>
      </w:pPr>
      <w:r w:rsidRPr="00DE0653">
        <w:rPr>
          <w:rFonts w:eastAsia="SimHei"/>
        </w:rPr>
        <w:t>17.</w:t>
      </w:r>
      <w:r w:rsidR="003C70F0" w:rsidRPr="00DE0653">
        <w:rPr>
          <w:rFonts w:eastAsia="SimHei"/>
        </w:rPr>
        <w:t xml:space="preserve">  </w:t>
      </w:r>
      <w:r w:rsidR="00244AF4" w:rsidRPr="00DE0653">
        <w:rPr>
          <w:rFonts w:eastAsia="SimHei"/>
          <w:bCs/>
          <w:lang w:val="en-GB"/>
        </w:rPr>
        <w:t>实用建议</w:t>
      </w:r>
      <w:r w:rsidRPr="00DE0653">
        <w:rPr>
          <w:rFonts w:eastAsia="SimHei"/>
          <w:bCs/>
          <w:lang w:val="en-GB"/>
        </w:rPr>
        <w:t>：</w:t>
      </w:r>
    </w:p>
    <w:p w:rsidR="00244AF4" w:rsidRPr="00DE0653" w:rsidRDefault="00244AF4" w:rsidP="0009265E">
      <w:pPr>
        <w:pStyle w:val="SingleTxtGC"/>
        <w:numPr>
          <w:ilvl w:val="0"/>
          <w:numId w:val="36"/>
        </w:numPr>
        <w:rPr>
          <w:rFonts w:eastAsia="SimHei"/>
          <w:lang w:val="en-GB"/>
        </w:rPr>
      </w:pPr>
      <w:r w:rsidRPr="00DE0653">
        <w:rPr>
          <w:rFonts w:eastAsia="SimHei" w:hint="eastAsia"/>
          <w:lang w:val="en-GB"/>
        </w:rPr>
        <w:t>各国应批准相关国际条约并应在法律中确立对和平集会有利的正向推定。各国应为保护集会参与者的不同权利提供法律保护</w:t>
      </w:r>
      <w:r w:rsidR="004527D5" w:rsidRPr="00DE0653">
        <w:rPr>
          <w:rFonts w:eastAsia="SimHei" w:hint="eastAsia"/>
          <w:lang w:val="en-GB"/>
        </w:rPr>
        <w:t>，</w:t>
      </w:r>
      <w:r w:rsidRPr="00DE0653">
        <w:rPr>
          <w:rFonts w:eastAsia="SimHei" w:hint="eastAsia"/>
          <w:lang w:val="en-GB"/>
        </w:rPr>
        <w:t>并颁布和不断更新落实这些权利所必需的法律、政策和程序。不应将任何集会当作不受保护的集会</w:t>
      </w:r>
      <w:r w:rsidR="004527D5" w:rsidRPr="00DE0653">
        <w:rPr>
          <w:rFonts w:eastAsia="SimHei" w:hint="eastAsia"/>
          <w:lang w:val="en-GB"/>
        </w:rPr>
        <w:t>；</w:t>
      </w:r>
    </w:p>
    <w:p w:rsidR="00244AF4" w:rsidRPr="00DE0653" w:rsidRDefault="00244AF4" w:rsidP="0009265E">
      <w:pPr>
        <w:pStyle w:val="SingleTxtGC"/>
        <w:numPr>
          <w:ilvl w:val="0"/>
          <w:numId w:val="36"/>
        </w:numPr>
        <w:rPr>
          <w:rFonts w:eastAsia="SimHei"/>
          <w:lang w:val="en-GB"/>
        </w:rPr>
      </w:pPr>
      <w:r w:rsidRPr="00DE0653">
        <w:rPr>
          <w:rFonts w:eastAsia="SimHei" w:hint="eastAsia"/>
          <w:lang w:val="en-GB"/>
        </w:rPr>
        <w:t>各国应确保所有与集会管理相关的各项法律起草得清楚明确</w:t>
      </w:r>
      <w:r w:rsidR="004527D5" w:rsidRPr="00DE0653">
        <w:rPr>
          <w:rFonts w:eastAsia="SimHei" w:hint="eastAsia"/>
          <w:lang w:val="en-GB"/>
        </w:rPr>
        <w:t>，</w:t>
      </w:r>
      <w:r w:rsidRPr="00DE0653">
        <w:rPr>
          <w:rFonts w:eastAsia="SimHei" w:hint="eastAsia"/>
          <w:lang w:val="en-GB"/>
        </w:rPr>
        <w:t>相互一致并符合国际标准。如果存在含糊不清的情况</w:t>
      </w:r>
      <w:r w:rsidR="004527D5" w:rsidRPr="00DE0653">
        <w:rPr>
          <w:rFonts w:eastAsia="SimHei" w:hint="eastAsia"/>
          <w:lang w:val="en-GB"/>
        </w:rPr>
        <w:t>，</w:t>
      </w:r>
      <w:r w:rsidRPr="00DE0653">
        <w:rPr>
          <w:rFonts w:eastAsia="SimHei" w:hint="eastAsia"/>
          <w:lang w:val="en-GB"/>
        </w:rPr>
        <w:t>应以有利于希望行使和平集会自由权者的方式解读相关条款</w:t>
      </w:r>
      <w:r w:rsidR="004527D5" w:rsidRPr="00DE0653">
        <w:rPr>
          <w:rFonts w:eastAsia="SimHei" w:hint="eastAsia"/>
          <w:lang w:val="en-GB"/>
        </w:rPr>
        <w:t>；</w:t>
      </w:r>
    </w:p>
    <w:p w:rsidR="00244AF4" w:rsidRPr="00DE0653" w:rsidRDefault="00244AF4" w:rsidP="0009265E">
      <w:pPr>
        <w:pStyle w:val="SingleTxtGC"/>
        <w:numPr>
          <w:ilvl w:val="0"/>
          <w:numId w:val="36"/>
        </w:numPr>
        <w:rPr>
          <w:rFonts w:eastAsia="SimHei"/>
          <w:lang w:val="en-GB"/>
        </w:rPr>
      </w:pPr>
      <w:r w:rsidRPr="00DE0653">
        <w:rPr>
          <w:rFonts w:eastAsia="SimHei" w:hint="eastAsia"/>
          <w:lang w:val="en-GB"/>
        </w:rPr>
        <w:t>各国应制定、颁布和更新国家行动计划</w:t>
      </w:r>
      <w:r w:rsidR="004527D5" w:rsidRPr="00DE0653">
        <w:rPr>
          <w:rFonts w:eastAsia="SimHei" w:hint="eastAsia"/>
          <w:lang w:val="en-GB"/>
        </w:rPr>
        <w:t>，</w:t>
      </w:r>
      <w:r w:rsidRPr="00DE0653">
        <w:rPr>
          <w:rFonts w:eastAsia="SimHei" w:hint="eastAsia"/>
          <w:lang w:val="en-GB"/>
        </w:rPr>
        <w:t>以指导这些实用建议以及与集会管理相关的国际标准的落实工作</w:t>
      </w:r>
      <w:r w:rsidR="004527D5" w:rsidRPr="00DE0653">
        <w:rPr>
          <w:rFonts w:eastAsia="SimHei" w:hint="eastAsia"/>
          <w:lang w:val="en-GB"/>
        </w:rPr>
        <w:t>，</w:t>
      </w:r>
      <w:r w:rsidRPr="00DE0653">
        <w:rPr>
          <w:rFonts w:eastAsia="SimHei" w:hint="eastAsia"/>
          <w:lang w:val="en-GB"/>
        </w:rPr>
        <w:t>并应视情向联合国人权事务高级专员办事处或其他专门机构寻求技术协助</w:t>
      </w:r>
      <w:r w:rsidR="004527D5" w:rsidRPr="00DE0653">
        <w:rPr>
          <w:rFonts w:eastAsia="SimHei" w:hint="eastAsia"/>
          <w:lang w:val="en-GB"/>
        </w:rPr>
        <w:t>；</w:t>
      </w:r>
    </w:p>
    <w:p w:rsidR="00244AF4" w:rsidRPr="00DE0653" w:rsidRDefault="00244AF4" w:rsidP="0009265E">
      <w:pPr>
        <w:pStyle w:val="SingleTxtGC"/>
        <w:numPr>
          <w:ilvl w:val="0"/>
          <w:numId w:val="36"/>
        </w:numPr>
        <w:rPr>
          <w:rFonts w:eastAsia="SimHei"/>
          <w:lang w:val="en-GB"/>
        </w:rPr>
      </w:pPr>
      <w:r w:rsidRPr="00DE0653">
        <w:rPr>
          <w:rFonts w:eastAsia="SimHei" w:hint="eastAsia"/>
          <w:lang w:val="en-GB"/>
        </w:rPr>
        <w:t>各国应向从事集会管理的政府各级主管部门提供必要支助和充分监督。这包括充分的培训和必要的财政和人力资源</w:t>
      </w:r>
      <w:r w:rsidR="004527D5" w:rsidRPr="00DE0653">
        <w:rPr>
          <w:rFonts w:eastAsia="SimHei" w:hint="eastAsia"/>
          <w:lang w:val="en-GB"/>
        </w:rPr>
        <w:t>；</w:t>
      </w:r>
    </w:p>
    <w:p w:rsidR="0009265E" w:rsidRPr="00DE0653" w:rsidRDefault="00244AF4" w:rsidP="0009265E">
      <w:pPr>
        <w:pStyle w:val="SingleTxtGC"/>
        <w:numPr>
          <w:ilvl w:val="0"/>
          <w:numId w:val="36"/>
        </w:numPr>
        <w:rPr>
          <w:rFonts w:eastAsia="SimHei"/>
          <w:lang w:val="en-GB"/>
        </w:rPr>
      </w:pPr>
      <w:r w:rsidRPr="00DE0653">
        <w:rPr>
          <w:rFonts w:eastAsia="SimHei" w:hint="eastAsia"/>
          <w:lang w:val="en-GB"/>
        </w:rPr>
        <w:t>政界领导人和其他领导人应公开承认不同意见有存在的空间</w:t>
      </w:r>
      <w:r w:rsidR="004527D5" w:rsidRPr="00DE0653">
        <w:rPr>
          <w:rFonts w:eastAsia="SimHei" w:hint="eastAsia"/>
          <w:lang w:val="en-GB"/>
        </w:rPr>
        <w:t>，</w:t>
      </w:r>
      <w:r w:rsidRPr="00DE0653">
        <w:rPr>
          <w:rFonts w:eastAsia="SimHei" w:hint="eastAsia"/>
          <w:lang w:val="en-GB"/>
        </w:rPr>
        <w:t>并应提倡建立宽容气氛。</w:t>
      </w:r>
    </w:p>
    <w:p w:rsidR="0009265E" w:rsidRDefault="0009265E">
      <w:pPr>
        <w:tabs>
          <w:tab w:val="clear" w:pos="431"/>
        </w:tabs>
        <w:overflowPunct/>
        <w:adjustRightInd/>
        <w:snapToGrid/>
        <w:spacing w:line="240" w:lineRule="auto"/>
        <w:jc w:val="left"/>
        <w:rPr>
          <w:lang w:val="en-GB"/>
        </w:rPr>
      </w:pPr>
      <w:r>
        <w:rPr>
          <w:lang w:val="en-GB"/>
        </w:rPr>
        <w:br w:type="page"/>
      </w:r>
    </w:p>
    <w:p w:rsidR="00244AF4" w:rsidRPr="00244AF4" w:rsidRDefault="00244AF4" w:rsidP="0009265E">
      <w:pPr>
        <w:pStyle w:val="H1GC"/>
        <w:rPr>
          <w:lang w:val="en-GB"/>
        </w:rPr>
      </w:pPr>
      <w:bookmarkStart w:id="11" w:name="_Toc309730741"/>
      <w:bookmarkStart w:id="12" w:name="_Toc309730876"/>
      <w:bookmarkStart w:id="13" w:name="_Toc440290939"/>
      <w:r w:rsidRPr="00244AF4">
        <w:rPr>
          <w:lang w:val="en-GB"/>
        </w:rPr>
        <w:lastRenderedPageBreak/>
        <w:tab/>
      </w:r>
      <w:r w:rsidR="004527D5">
        <w:rPr>
          <w:lang w:val="en-GB"/>
        </w:rPr>
        <w:t>B</w:t>
      </w:r>
      <w:r w:rsidRPr="00244AF4">
        <w:rPr>
          <w:lang w:val="en-GB"/>
        </w:rPr>
        <w:t>.</w:t>
      </w:r>
      <w:r w:rsidRPr="00244AF4">
        <w:rPr>
          <w:lang w:val="en-GB"/>
        </w:rPr>
        <w:tab/>
      </w:r>
      <w:bookmarkEnd w:id="11"/>
      <w:bookmarkEnd w:id="12"/>
      <w:bookmarkEnd w:id="13"/>
      <w:r w:rsidRPr="00244AF4">
        <w:rPr>
          <w:rFonts w:hint="eastAsia"/>
          <w:lang w:val="en-GB"/>
        </w:rPr>
        <w:t>人人享有不可剥夺的参与和平集会权</w:t>
      </w:r>
    </w:p>
    <w:p w:rsidR="00244AF4" w:rsidRPr="00244AF4" w:rsidRDefault="004527D5" w:rsidP="00244AF4">
      <w:pPr>
        <w:pStyle w:val="SingleTxtGC"/>
      </w:pPr>
      <w:r>
        <w:t>18.</w:t>
      </w:r>
      <w:r w:rsidR="003C70F0">
        <w:t xml:space="preserve">  </w:t>
      </w:r>
      <w:r w:rsidR="00244AF4" w:rsidRPr="00244AF4">
        <w:rPr>
          <w:rFonts w:hint="eastAsia"/>
          <w:lang w:val="en-GB"/>
        </w:rPr>
        <w:t>国际法承认参与和平集会是不可剥夺的权利</w:t>
      </w:r>
      <w:r>
        <w:rPr>
          <w:rFonts w:hint="eastAsia"/>
          <w:lang w:val="en-GB"/>
        </w:rPr>
        <w:t>，</w:t>
      </w:r>
      <w:r w:rsidR="00244AF4" w:rsidRPr="00244AF4">
        <w:rPr>
          <w:rFonts w:hint="eastAsia"/>
          <w:lang w:val="en-GB"/>
        </w:rPr>
        <w:t>据此</w:t>
      </w:r>
      <w:r>
        <w:rPr>
          <w:rFonts w:hint="eastAsia"/>
          <w:lang w:val="en-GB"/>
        </w:rPr>
        <w:t>，</w:t>
      </w:r>
      <w:r w:rsidR="00244AF4" w:rsidRPr="00244AF4">
        <w:rPr>
          <w:rFonts w:hint="eastAsia"/>
          <w:lang w:val="en-GB"/>
        </w:rPr>
        <w:t>存在对举行和平集会有利的推定。除了受《公民权利和政治权利国际公约》第二十一条规定的可允许的限制外</w:t>
      </w:r>
      <w:r>
        <w:rPr>
          <w:rFonts w:hint="eastAsia"/>
          <w:lang w:val="en-GB"/>
        </w:rPr>
        <w:t>，</w:t>
      </w:r>
      <w:r w:rsidR="00244AF4" w:rsidRPr="006A5AF9">
        <w:rPr>
          <w:color w:val="0000FF"/>
          <w:vertAlign w:val="superscript"/>
          <w:lang w:val="en-GB"/>
        </w:rPr>
        <w:footnoteReference w:id="9"/>
      </w:r>
      <w:r w:rsidR="0009265E">
        <w:rPr>
          <w:rFonts w:hint="eastAsia"/>
          <w:lang w:val="en-GB"/>
        </w:rPr>
        <w:t xml:space="preserve"> </w:t>
      </w:r>
      <w:r w:rsidR="00244AF4" w:rsidRPr="00244AF4">
        <w:rPr>
          <w:rFonts w:hint="eastAsia"/>
          <w:lang w:val="en-GB"/>
        </w:rPr>
        <w:t>集会应被推定为合法。对和平集会自由权的保护只适用于和平集会。在确定某次集会是否受这项权利保护时</w:t>
      </w:r>
      <w:r>
        <w:rPr>
          <w:rFonts w:hint="eastAsia"/>
          <w:lang w:val="en-GB"/>
        </w:rPr>
        <w:t>，</w:t>
      </w:r>
      <w:r w:rsidR="00244AF4" w:rsidRPr="00244AF4">
        <w:rPr>
          <w:rFonts w:hint="eastAsia"/>
          <w:lang w:val="en-GB"/>
        </w:rPr>
        <w:t>应推定集会的和平性</w:t>
      </w:r>
      <w:r>
        <w:rPr>
          <w:rFonts w:hint="eastAsia"/>
          <w:lang w:val="en-GB"/>
        </w:rPr>
        <w:t>，</w:t>
      </w:r>
      <w:r w:rsidR="00244AF4" w:rsidRPr="006A5AF9">
        <w:rPr>
          <w:color w:val="0000FF"/>
          <w:vertAlign w:val="superscript"/>
          <w:lang w:val="en-GB"/>
        </w:rPr>
        <w:footnoteReference w:id="10"/>
      </w:r>
      <w:r w:rsidR="0009265E">
        <w:rPr>
          <w:rFonts w:hint="eastAsia"/>
          <w:lang w:val="en-GB"/>
        </w:rPr>
        <w:t xml:space="preserve"> </w:t>
      </w:r>
      <w:r w:rsidR="00244AF4" w:rsidRPr="00244AF4">
        <w:rPr>
          <w:rFonts w:hint="eastAsia"/>
          <w:lang w:val="en-GB"/>
        </w:rPr>
        <w:t>并对</w:t>
      </w:r>
      <w:r>
        <w:rPr>
          <w:rFonts w:hint="eastAsia"/>
          <w:lang w:val="en-GB"/>
        </w:rPr>
        <w:t>“</w:t>
      </w:r>
      <w:r w:rsidR="00244AF4" w:rsidRPr="00244AF4">
        <w:rPr>
          <w:rFonts w:hint="eastAsia"/>
          <w:lang w:val="en-GB"/>
        </w:rPr>
        <w:t>和平的</w:t>
      </w:r>
      <w:r>
        <w:rPr>
          <w:rFonts w:hint="eastAsia"/>
          <w:lang w:val="en-GB"/>
        </w:rPr>
        <w:t>”</w:t>
      </w:r>
      <w:r w:rsidR="00244AF4" w:rsidRPr="00244AF4">
        <w:rPr>
          <w:rFonts w:hint="eastAsia"/>
          <w:lang w:val="en-GB"/>
        </w:rPr>
        <w:t>一词进行广义解读。</w:t>
      </w:r>
      <w:r w:rsidR="00244AF4" w:rsidRPr="006A5AF9">
        <w:rPr>
          <w:color w:val="0000FF"/>
          <w:vertAlign w:val="superscript"/>
          <w:lang w:val="en-GB"/>
        </w:rPr>
        <w:footnoteReference w:id="11"/>
      </w:r>
      <w:r w:rsidR="00244AF4" w:rsidRPr="00244AF4">
        <w:rPr>
          <w:rFonts w:hint="eastAsia"/>
          <w:lang w:val="en-GB"/>
        </w:rPr>
        <w:t xml:space="preserve"> </w:t>
      </w:r>
      <w:r w:rsidR="00244AF4" w:rsidRPr="00244AF4">
        <w:rPr>
          <w:rFonts w:hint="eastAsia"/>
          <w:lang w:val="en-GB"/>
        </w:rPr>
        <w:t>必须注意集会的举行方式以及参与者的意图。</w:t>
      </w:r>
    </w:p>
    <w:p w:rsidR="00244AF4" w:rsidRPr="00244AF4" w:rsidRDefault="004527D5" w:rsidP="00244AF4">
      <w:pPr>
        <w:pStyle w:val="SingleTxtGC"/>
      </w:pPr>
      <w:r>
        <w:t>19.</w:t>
      </w:r>
      <w:r w:rsidR="003C70F0">
        <w:t xml:space="preserve">  </w:t>
      </w:r>
      <w:r w:rsidR="00244AF4" w:rsidRPr="00244AF4">
        <w:rPr>
          <w:rFonts w:hint="eastAsia"/>
          <w:lang w:val="en-GB"/>
        </w:rPr>
        <w:t>和平集会自由权包括以任何合法的方式计划、组织、宣传和通告的权利。对此类活动的任何限制均应被视为对行使权利的事先限制。对结社和言论自由的限制也可成为对和平集会自由的实际限制。</w:t>
      </w:r>
    </w:p>
    <w:p w:rsidR="00244AF4" w:rsidRPr="00244AF4" w:rsidRDefault="004527D5" w:rsidP="00244AF4">
      <w:pPr>
        <w:pStyle w:val="SingleTxtGC"/>
      </w:pPr>
      <w:r>
        <w:t>20.</w:t>
      </w:r>
      <w:r w:rsidR="003C70F0">
        <w:t xml:space="preserve">  </w:t>
      </w:r>
      <w:r w:rsidR="00244AF4" w:rsidRPr="00244AF4">
        <w:rPr>
          <w:rFonts w:hint="eastAsia"/>
          <w:lang w:val="en-GB"/>
        </w:rPr>
        <w:t>参与集会的每个人都拥有和平集会自由权。一些人实施的零星暴力行为或犯罪行为不应归咎于意图和行为都保持和平的其他人。</w:t>
      </w:r>
      <w:r w:rsidR="00244AF4" w:rsidRPr="006A5AF9">
        <w:rPr>
          <w:color w:val="0000FF"/>
          <w:vertAlign w:val="superscript"/>
          <w:lang w:val="en-GB"/>
        </w:rPr>
        <w:footnoteReference w:id="12"/>
      </w:r>
    </w:p>
    <w:p w:rsidR="00244AF4" w:rsidRPr="00244AF4" w:rsidRDefault="004527D5" w:rsidP="00244AF4">
      <w:pPr>
        <w:pStyle w:val="SingleTxtGC"/>
      </w:pPr>
      <w:r>
        <w:t>21.</w:t>
      </w:r>
      <w:r w:rsidR="003C70F0">
        <w:t xml:space="preserve">  </w:t>
      </w:r>
      <w:r w:rsidR="00244AF4" w:rsidRPr="00244AF4">
        <w:rPr>
          <w:rFonts w:hint="eastAsia"/>
          <w:lang w:val="en-GB"/>
        </w:rPr>
        <w:t>和平集会自由是一项权利</w:t>
      </w:r>
      <w:r>
        <w:rPr>
          <w:rFonts w:hint="eastAsia"/>
          <w:lang w:val="en-GB"/>
        </w:rPr>
        <w:t>，</w:t>
      </w:r>
      <w:r w:rsidR="00244AF4" w:rsidRPr="00244AF4">
        <w:rPr>
          <w:rFonts w:hint="eastAsia"/>
          <w:lang w:val="en-GB"/>
        </w:rPr>
        <w:t>但不是特权</w:t>
      </w:r>
      <w:r>
        <w:rPr>
          <w:rFonts w:hint="eastAsia"/>
          <w:lang w:val="en-GB"/>
        </w:rPr>
        <w:t>，</w:t>
      </w:r>
      <w:r w:rsidR="00244AF4" w:rsidRPr="00244AF4">
        <w:rPr>
          <w:rFonts w:hint="eastAsia"/>
          <w:lang w:val="en-GB"/>
        </w:rPr>
        <w:t>因此行使该权利不应需要主管部门事先批准。国家主管部门可实施事先通知制度</w:t>
      </w:r>
      <w:r>
        <w:rPr>
          <w:rFonts w:hint="eastAsia"/>
          <w:lang w:val="en-GB"/>
        </w:rPr>
        <w:t>，</w:t>
      </w:r>
      <w:r w:rsidR="00244AF4" w:rsidRPr="00244AF4">
        <w:rPr>
          <w:rFonts w:hint="eastAsia"/>
          <w:lang w:val="en-GB"/>
        </w:rPr>
        <w:t>其目标在于使国家主管部门有机会为行使该权利提供便利、采取措施保护公共安全和</w:t>
      </w:r>
      <w:r>
        <w:rPr>
          <w:rFonts w:hint="eastAsia"/>
          <w:lang w:val="en-GB"/>
        </w:rPr>
        <w:t>/</w:t>
      </w:r>
      <w:r w:rsidR="00244AF4" w:rsidRPr="00244AF4">
        <w:rPr>
          <w:rFonts w:hint="eastAsia"/>
          <w:lang w:val="en-GB"/>
        </w:rPr>
        <w:t>或公共秩序并保护其他人的权利和自由。通知程序不应成为事实上的批准要求或成为内容监管的依据。不需要国家主管部门事先准备的集会不一定要通知</w:t>
      </w:r>
      <w:r>
        <w:rPr>
          <w:rFonts w:hint="eastAsia"/>
          <w:lang w:val="en-GB"/>
        </w:rPr>
        <w:t>，</w:t>
      </w:r>
      <w:r w:rsidR="00244AF4" w:rsidRPr="00244AF4">
        <w:rPr>
          <w:rFonts w:hint="eastAsia"/>
          <w:lang w:val="en-GB"/>
        </w:rPr>
        <w:t>例如</w:t>
      </w:r>
      <w:r>
        <w:rPr>
          <w:rFonts w:hint="eastAsia"/>
          <w:lang w:val="en-GB"/>
        </w:rPr>
        <w:t>，</w:t>
      </w:r>
      <w:r w:rsidR="00244AF4" w:rsidRPr="00244AF4">
        <w:rPr>
          <w:rFonts w:hint="eastAsia"/>
          <w:lang w:val="en-GB"/>
        </w:rPr>
        <w:t>那些预计仅有少数参与者的集会</w:t>
      </w:r>
      <w:r>
        <w:rPr>
          <w:rFonts w:hint="eastAsia"/>
          <w:lang w:val="en-GB"/>
        </w:rPr>
        <w:t>，</w:t>
      </w:r>
      <w:r w:rsidR="00244AF4" w:rsidRPr="00244AF4">
        <w:rPr>
          <w:rFonts w:hint="eastAsia"/>
          <w:lang w:val="en-GB"/>
        </w:rPr>
        <w:t>或对公众影响微乎其微的集会。</w:t>
      </w:r>
    </w:p>
    <w:p w:rsidR="00244AF4" w:rsidRPr="00244AF4" w:rsidRDefault="004527D5" w:rsidP="00244AF4">
      <w:pPr>
        <w:pStyle w:val="SingleTxtGC"/>
      </w:pPr>
      <w:r>
        <w:t>22.</w:t>
      </w:r>
      <w:r w:rsidR="003C70F0">
        <w:t xml:space="preserve">  </w:t>
      </w:r>
      <w:r w:rsidR="00244AF4" w:rsidRPr="00244AF4">
        <w:rPr>
          <w:rFonts w:hint="eastAsia"/>
          <w:lang w:val="en-GB"/>
        </w:rPr>
        <w:t>通知程序不应过于官僚</w:t>
      </w:r>
      <w:r>
        <w:rPr>
          <w:rFonts w:hint="eastAsia"/>
          <w:lang w:val="en-GB"/>
        </w:rPr>
        <w:t>，</w:t>
      </w:r>
      <w:r w:rsidR="00244AF4" w:rsidRPr="00244AF4">
        <w:rPr>
          <w:rFonts w:hint="eastAsia"/>
          <w:lang w:val="en-GB"/>
        </w:rPr>
        <w:t>并应接受相称性评估。</w:t>
      </w:r>
      <w:r w:rsidR="00244AF4" w:rsidRPr="006A5AF9">
        <w:rPr>
          <w:color w:val="0000FF"/>
          <w:vertAlign w:val="superscript"/>
          <w:lang w:val="en-GB"/>
        </w:rPr>
        <w:footnoteReference w:id="13"/>
      </w:r>
      <w:r w:rsidR="0009265E">
        <w:rPr>
          <w:rFonts w:hint="eastAsia"/>
          <w:lang w:val="en-GB"/>
        </w:rPr>
        <w:t xml:space="preserve"> </w:t>
      </w:r>
      <w:r w:rsidR="00244AF4" w:rsidRPr="00244AF4">
        <w:rPr>
          <w:rFonts w:hint="eastAsia"/>
          <w:lang w:val="en-GB"/>
        </w:rPr>
        <w:t>通知期限不应无故过长</w:t>
      </w:r>
      <w:r>
        <w:rPr>
          <w:rFonts w:hint="eastAsia"/>
          <w:lang w:val="en-GB"/>
        </w:rPr>
        <w:t>，</w:t>
      </w:r>
      <w:r w:rsidR="00244AF4" w:rsidRPr="00244AF4">
        <w:rPr>
          <w:rFonts w:hint="eastAsia"/>
          <w:lang w:val="en-GB"/>
        </w:rPr>
        <w:t>但必须留出足够时间供有关主管部门为集会进行充分准备。通知程序应当免费</w:t>
      </w:r>
      <w:r>
        <w:rPr>
          <w:rFonts w:hint="eastAsia"/>
          <w:lang w:val="en-GB"/>
        </w:rPr>
        <w:t>(</w:t>
      </w:r>
      <w:r w:rsidR="00244AF4" w:rsidRPr="00244AF4">
        <w:rPr>
          <w:rFonts w:hint="eastAsia"/>
          <w:lang w:val="en-GB"/>
        </w:rPr>
        <w:t>见</w:t>
      </w:r>
      <w:r>
        <w:rPr>
          <w:rFonts w:hint="eastAsia"/>
          <w:lang w:val="en-GB"/>
        </w:rPr>
        <w:t>A/HRC/23/39,</w:t>
      </w:r>
      <w:r w:rsidR="0009265E">
        <w:rPr>
          <w:rFonts w:hint="eastAsia"/>
          <w:lang w:val="en-GB"/>
        </w:rPr>
        <w:t xml:space="preserve"> </w:t>
      </w:r>
      <w:r w:rsidR="00244AF4" w:rsidRPr="00244AF4">
        <w:rPr>
          <w:rFonts w:hint="eastAsia"/>
          <w:lang w:val="en-GB"/>
        </w:rPr>
        <w:t>第</w:t>
      </w:r>
      <w:r>
        <w:rPr>
          <w:rFonts w:hint="eastAsia"/>
          <w:lang w:val="en-GB"/>
        </w:rPr>
        <w:t>57</w:t>
      </w:r>
      <w:r w:rsidR="00244AF4" w:rsidRPr="00244AF4">
        <w:rPr>
          <w:rFonts w:hint="eastAsia"/>
          <w:lang w:val="en-GB"/>
        </w:rPr>
        <w:t>段</w:t>
      </w:r>
      <w:r>
        <w:rPr>
          <w:rFonts w:hint="eastAsia"/>
          <w:lang w:val="en-GB"/>
        </w:rPr>
        <w:t>)</w:t>
      </w:r>
      <w:r w:rsidR="00244AF4" w:rsidRPr="00244AF4">
        <w:rPr>
          <w:rFonts w:hint="eastAsia"/>
          <w:lang w:val="en-GB"/>
        </w:rPr>
        <w:t>并普遍易用。</w:t>
      </w:r>
    </w:p>
    <w:p w:rsidR="00244AF4" w:rsidRPr="00244AF4" w:rsidRDefault="004527D5" w:rsidP="00244AF4">
      <w:pPr>
        <w:pStyle w:val="SingleTxtGC"/>
      </w:pPr>
      <w:r>
        <w:t>23.</w:t>
      </w:r>
      <w:r w:rsidR="003C70F0">
        <w:t xml:space="preserve">  </w:t>
      </w:r>
      <w:r w:rsidR="00244AF4" w:rsidRPr="00244AF4">
        <w:rPr>
          <w:rFonts w:hint="eastAsia"/>
          <w:lang w:val="en-GB"/>
        </w:rPr>
        <w:t>未通知主管部门不应导致集会成为非法活动</w:t>
      </w:r>
      <w:r>
        <w:rPr>
          <w:rFonts w:hint="eastAsia"/>
          <w:lang w:val="en-GB"/>
        </w:rPr>
        <w:t>，</w:t>
      </w:r>
      <w:r w:rsidR="00244AF4" w:rsidRPr="00244AF4">
        <w:rPr>
          <w:rFonts w:hint="eastAsia"/>
          <w:lang w:val="en-GB"/>
        </w:rPr>
        <w:t>因而也不得据此来驱散集会。如果未能进行适当通知</w:t>
      </w:r>
      <w:r>
        <w:rPr>
          <w:rFonts w:hint="eastAsia"/>
          <w:lang w:val="en-GB"/>
        </w:rPr>
        <w:t>，</w:t>
      </w:r>
      <w:r w:rsidR="00244AF4" w:rsidRPr="00244AF4">
        <w:rPr>
          <w:rFonts w:hint="eastAsia"/>
          <w:lang w:val="en-GB"/>
        </w:rPr>
        <w:t>组织者、社区或政治领导人不应受到罚款或监禁等刑事或行政处罚</w:t>
      </w:r>
      <w:r>
        <w:rPr>
          <w:rFonts w:hint="eastAsia"/>
          <w:lang w:val="en-GB"/>
        </w:rPr>
        <w:t>(</w:t>
      </w:r>
      <w:r w:rsidR="00244AF4" w:rsidRPr="00244AF4">
        <w:rPr>
          <w:rFonts w:hint="eastAsia"/>
          <w:lang w:val="en-GB"/>
        </w:rPr>
        <w:t>见</w:t>
      </w:r>
      <w:r>
        <w:rPr>
          <w:rFonts w:hint="eastAsia"/>
          <w:lang w:val="en-GB"/>
        </w:rPr>
        <w:t>A/HRC/2</w:t>
      </w:r>
      <w:r w:rsidR="00244AF4" w:rsidRPr="00244AF4">
        <w:rPr>
          <w:rFonts w:hint="eastAsia"/>
          <w:lang w:val="en-GB"/>
        </w:rPr>
        <w:t>0</w:t>
      </w:r>
      <w:r>
        <w:rPr>
          <w:rFonts w:hint="eastAsia"/>
          <w:lang w:val="en-GB"/>
        </w:rPr>
        <w:t>/27,</w:t>
      </w:r>
      <w:r w:rsidR="0009265E">
        <w:rPr>
          <w:rFonts w:hint="eastAsia"/>
          <w:lang w:val="en-GB"/>
        </w:rPr>
        <w:t xml:space="preserve"> </w:t>
      </w:r>
      <w:r w:rsidR="00244AF4" w:rsidRPr="00244AF4">
        <w:rPr>
          <w:rFonts w:hint="eastAsia"/>
          <w:lang w:val="en-GB"/>
        </w:rPr>
        <w:t>第</w:t>
      </w:r>
      <w:r>
        <w:rPr>
          <w:rFonts w:hint="eastAsia"/>
          <w:lang w:val="en-GB"/>
        </w:rPr>
        <w:t>29</w:t>
      </w:r>
      <w:r w:rsidR="00244AF4" w:rsidRPr="00244AF4">
        <w:rPr>
          <w:rFonts w:hint="eastAsia"/>
          <w:lang w:val="en-GB"/>
        </w:rPr>
        <w:t>段</w:t>
      </w:r>
      <w:r>
        <w:rPr>
          <w:rFonts w:hint="eastAsia"/>
          <w:lang w:val="en-GB"/>
        </w:rPr>
        <w:t>)</w:t>
      </w:r>
      <w:r w:rsidR="00244AF4" w:rsidRPr="00244AF4">
        <w:rPr>
          <w:rFonts w:hint="eastAsia"/>
          <w:lang w:val="en-GB"/>
        </w:rPr>
        <w:t>。这同样适用于事先通知不切实际或无法查明组织者的自发集会情况。应免除对自发集会的通知要求</w:t>
      </w:r>
      <w:r>
        <w:rPr>
          <w:rFonts w:hint="eastAsia"/>
          <w:lang w:val="en-GB"/>
        </w:rPr>
        <w:t>，</w:t>
      </w:r>
      <w:r w:rsidR="00244AF4" w:rsidRPr="006A5AF9">
        <w:rPr>
          <w:color w:val="0000FF"/>
          <w:vertAlign w:val="superscript"/>
          <w:lang w:val="en-GB"/>
        </w:rPr>
        <w:footnoteReference w:id="14"/>
      </w:r>
      <w:r w:rsidR="00244AF4" w:rsidRPr="00244AF4">
        <w:rPr>
          <w:rFonts w:hint="eastAsia"/>
          <w:lang w:val="en-GB"/>
        </w:rPr>
        <w:t xml:space="preserve"> </w:t>
      </w:r>
      <w:r w:rsidR="00244AF4" w:rsidRPr="00244AF4">
        <w:rPr>
          <w:rFonts w:hint="eastAsia"/>
          <w:lang w:val="en-GB"/>
        </w:rPr>
        <w:t>执法机关应像对待其他集会一样</w:t>
      </w:r>
      <w:r>
        <w:rPr>
          <w:rFonts w:hint="eastAsia"/>
          <w:lang w:val="en-GB"/>
        </w:rPr>
        <w:t>，</w:t>
      </w:r>
      <w:r w:rsidR="00244AF4" w:rsidRPr="00244AF4">
        <w:rPr>
          <w:rFonts w:hint="eastAsia"/>
          <w:lang w:val="en-GB"/>
        </w:rPr>
        <w:t>尽可能地保护和便利自发集会。</w:t>
      </w:r>
    </w:p>
    <w:p w:rsidR="00244AF4" w:rsidRPr="00244AF4" w:rsidRDefault="004527D5" w:rsidP="00244AF4">
      <w:pPr>
        <w:pStyle w:val="SingleTxtGC"/>
      </w:pPr>
      <w:r>
        <w:lastRenderedPageBreak/>
        <w:t>24.</w:t>
      </w:r>
      <w:r w:rsidR="003C70F0">
        <w:t xml:space="preserve">  </w:t>
      </w:r>
      <w:r w:rsidR="00244AF4" w:rsidRPr="00244AF4">
        <w:rPr>
          <w:rFonts w:hint="eastAsia"/>
          <w:lang w:val="en-GB"/>
        </w:rPr>
        <w:t>国家便利和保护集会的义务包括便利和保护同时举行的集会和反抗议活动</w:t>
      </w:r>
      <w:r>
        <w:rPr>
          <w:rFonts w:hint="eastAsia"/>
          <w:lang w:val="en-GB"/>
        </w:rPr>
        <w:t>，</w:t>
      </w:r>
      <w:r w:rsidR="00244AF4" w:rsidRPr="00244AF4">
        <w:rPr>
          <w:rFonts w:hint="eastAsia"/>
          <w:lang w:val="en-GB"/>
        </w:rPr>
        <w:t>在这些活动中</w:t>
      </w:r>
      <w:r>
        <w:rPr>
          <w:rFonts w:hint="eastAsia"/>
          <w:lang w:val="en-GB"/>
        </w:rPr>
        <w:t>，</w:t>
      </w:r>
      <w:r w:rsidR="00244AF4" w:rsidRPr="00244AF4">
        <w:rPr>
          <w:rFonts w:hint="eastAsia"/>
          <w:lang w:val="en-GB"/>
        </w:rPr>
        <w:t>一个或多个集会的目的是对其他集会发出的信息表示不满。应尽可能协助集会</w:t>
      </w:r>
      <w:r>
        <w:rPr>
          <w:rFonts w:hint="eastAsia"/>
          <w:lang w:val="en-GB"/>
        </w:rPr>
        <w:t>(</w:t>
      </w:r>
      <w:r w:rsidR="00244AF4" w:rsidRPr="00244AF4">
        <w:rPr>
          <w:rFonts w:hint="eastAsia"/>
          <w:lang w:val="en-GB"/>
        </w:rPr>
        <w:t>包括自发集会和反抗议活动</w:t>
      </w:r>
      <w:r>
        <w:rPr>
          <w:rFonts w:hint="eastAsia"/>
          <w:lang w:val="en-GB"/>
        </w:rPr>
        <w:t>)</w:t>
      </w:r>
      <w:r w:rsidR="00244AF4" w:rsidRPr="00244AF4">
        <w:rPr>
          <w:rFonts w:hint="eastAsia"/>
          <w:lang w:val="en-GB"/>
        </w:rPr>
        <w:t>在其目标的视线和听力范围内举行。</w:t>
      </w:r>
      <w:r w:rsidR="00244AF4" w:rsidRPr="006A5AF9">
        <w:rPr>
          <w:color w:val="0000FF"/>
          <w:vertAlign w:val="superscript"/>
          <w:lang w:val="en-GB"/>
        </w:rPr>
        <w:footnoteReference w:id="15"/>
      </w:r>
    </w:p>
    <w:p w:rsidR="00244AF4" w:rsidRPr="00244AF4" w:rsidRDefault="004527D5" w:rsidP="00244AF4">
      <w:pPr>
        <w:pStyle w:val="SingleTxtGC"/>
      </w:pPr>
      <w:r>
        <w:t>25.</w:t>
      </w:r>
      <w:r w:rsidR="003C70F0">
        <w:t xml:space="preserve">  </w:t>
      </w:r>
      <w:r w:rsidR="00244AF4" w:rsidRPr="00244AF4">
        <w:rPr>
          <w:rFonts w:hint="eastAsia"/>
          <w:lang w:val="en-GB"/>
        </w:rPr>
        <w:t>国家提供便利的义务包括采取措施</w:t>
      </w:r>
      <w:r>
        <w:rPr>
          <w:rFonts w:hint="eastAsia"/>
          <w:lang w:val="en-GB"/>
        </w:rPr>
        <w:t>，</w:t>
      </w:r>
      <w:r w:rsidR="00244AF4" w:rsidRPr="00244AF4">
        <w:rPr>
          <w:rFonts w:hint="eastAsia"/>
          <w:lang w:val="en-GB"/>
        </w:rPr>
        <w:t>保护行使其权利的人不受暴力或妨碍。</w:t>
      </w:r>
      <w:r w:rsidR="00244AF4" w:rsidRPr="006A5AF9">
        <w:rPr>
          <w:color w:val="0000FF"/>
          <w:vertAlign w:val="superscript"/>
          <w:lang w:val="en-GB"/>
        </w:rPr>
        <w:footnoteReference w:id="16"/>
      </w:r>
      <w:r w:rsidR="00244AF4" w:rsidRPr="00244AF4">
        <w:rPr>
          <w:rFonts w:hint="eastAsia"/>
          <w:lang w:val="en-GB"/>
        </w:rPr>
        <w:t xml:space="preserve"> </w:t>
      </w:r>
      <w:r w:rsidR="00244AF4" w:rsidRPr="00244AF4">
        <w:rPr>
          <w:rFonts w:hint="eastAsia"/>
          <w:lang w:val="en-GB"/>
        </w:rPr>
        <w:t>然而</w:t>
      </w:r>
      <w:r>
        <w:rPr>
          <w:rFonts w:hint="eastAsia"/>
          <w:lang w:val="en-GB"/>
        </w:rPr>
        <w:t>，</w:t>
      </w:r>
      <w:r w:rsidR="00244AF4" w:rsidRPr="00244AF4">
        <w:rPr>
          <w:rFonts w:hint="eastAsia"/>
          <w:lang w:val="en-GB"/>
        </w:rPr>
        <w:t>单单存在风险不足以成为禁止集会的理由。</w:t>
      </w:r>
      <w:r w:rsidR="00244AF4" w:rsidRPr="006A5AF9">
        <w:rPr>
          <w:color w:val="0000FF"/>
          <w:vertAlign w:val="superscript"/>
          <w:lang w:val="en-GB"/>
        </w:rPr>
        <w:footnoteReference w:id="17"/>
      </w:r>
      <w:r w:rsidR="00244AF4" w:rsidRPr="00244AF4">
        <w:rPr>
          <w:rFonts w:hint="eastAsia"/>
          <w:lang w:val="en-GB"/>
        </w:rPr>
        <w:t xml:space="preserve"> </w:t>
      </w:r>
      <w:r w:rsidR="00244AF4" w:rsidRPr="00244AF4">
        <w:rPr>
          <w:rFonts w:hint="eastAsia"/>
          <w:lang w:val="en-GB"/>
        </w:rPr>
        <w:t>如果集会参与者之间或不同集会的参与者之间的存在暴力冲突的风险</w:t>
      </w:r>
      <w:r>
        <w:rPr>
          <w:rFonts w:hint="eastAsia"/>
          <w:lang w:val="en-GB"/>
        </w:rPr>
        <w:t>，</w:t>
      </w:r>
      <w:r w:rsidR="00244AF4" w:rsidRPr="00244AF4">
        <w:rPr>
          <w:rFonts w:hint="eastAsia"/>
          <w:lang w:val="en-GB"/>
        </w:rPr>
        <w:t>必须采取限制性最低的措施</w:t>
      </w:r>
      <w:r>
        <w:rPr>
          <w:rFonts w:hint="eastAsia"/>
          <w:lang w:val="en-GB"/>
        </w:rPr>
        <w:t>，</w:t>
      </w:r>
      <w:r w:rsidR="00244AF4" w:rsidRPr="00244AF4">
        <w:rPr>
          <w:rFonts w:hint="eastAsia"/>
          <w:lang w:val="en-GB"/>
        </w:rPr>
        <w:t>以确保参与者和其他人的平安和安全。</w:t>
      </w:r>
    </w:p>
    <w:p w:rsidR="00244AF4" w:rsidRPr="00244AF4" w:rsidRDefault="004527D5" w:rsidP="00244AF4">
      <w:pPr>
        <w:pStyle w:val="SingleTxtGC"/>
      </w:pPr>
      <w:r>
        <w:t>26.</w:t>
      </w:r>
      <w:r w:rsidR="003C70F0">
        <w:t xml:space="preserve">  </w:t>
      </w:r>
      <w:r w:rsidR="00244AF4" w:rsidRPr="00244AF4">
        <w:rPr>
          <w:rFonts w:hint="eastAsia"/>
          <w:lang w:val="en-GB"/>
        </w:rPr>
        <w:t>组织者应为遵守法律及鼓励集会和平进行作出合理努力</w:t>
      </w:r>
      <w:r>
        <w:rPr>
          <w:rFonts w:hint="eastAsia"/>
          <w:lang w:val="en-GB"/>
        </w:rPr>
        <w:t>，</w:t>
      </w:r>
      <w:r w:rsidR="00244AF4" w:rsidRPr="00244AF4">
        <w:rPr>
          <w:rFonts w:hint="eastAsia"/>
          <w:lang w:val="en-GB"/>
        </w:rPr>
        <w:t>但不应要求他们为他人的不法行为负责。</w:t>
      </w:r>
      <w:r w:rsidR="00244AF4" w:rsidRPr="006A5AF9">
        <w:rPr>
          <w:color w:val="0000FF"/>
          <w:vertAlign w:val="superscript"/>
          <w:lang w:val="en-GB"/>
        </w:rPr>
        <w:footnoteReference w:id="18"/>
      </w:r>
      <w:r w:rsidR="007330FC">
        <w:rPr>
          <w:rFonts w:hint="eastAsia"/>
          <w:lang w:val="en-GB"/>
        </w:rPr>
        <w:t xml:space="preserve"> </w:t>
      </w:r>
      <w:r w:rsidR="00244AF4" w:rsidRPr="00244AF4">
        <w:rPr>
          <w:rFonts w:hint="eastAsia"/>
          <w:lang w:val="en-GB"/>
        </w:rPr>
        <w:t>这样做会违反个人责任原则</w:t>
      </w:r>
      <w:r>
        <w:rPr>
          <w:rFonts w:hint="eastAsia"/>
          <w:lang w:val="en-GB"/>
        </w:rPr>
        <w:t>，</w:t>
      </w:r>
      <w:r w:rsidR="00244AF4" w:rsidRPr="00244AF4">
        <w:rPr>
          <w:rFonts w:hint="eastAsia"/>
          <w:lang w:val="en-GB"/>
        </w:rPr>
        <w:t>削弱集会组织者、参与者及主管机构之间的信任与合作</w:t>
      </w:r>
      <w:r>
        <w:rPr>
          <w:rFonts w:hint="eastAsia"/>
          <w:lang w:val="en-GB"/>
        </w:rPr>
        <w:t>，</w:t>
      </w:r>
      <w:r w:rsidR="00244AF4" w:rsidRPr="00244AF4">
        <w:rPr>
          <w:rFonts w:hint="eastAsia"/>
          <w:lang w:val="en-GB"/>
        </w:rPr>
        <w:t>并阻碍可能的集会组织者行使其权利。</w:t>
      </w:r>
    </w:p>
    <w:p w:rsidR="00244AF4" w:rsidRPr="00244AF4" w:rsidRDefault="004527D5" w:rsidP="00244AF4">
      <w:pPr>
        <w:pStyle w:val="SingleTxtGC"/>
      </w:pPr>
      <w:r>
        <w:t>27.</w:t>
      </w:r>
      <w:r w:rsidR="003C70F0">
        <w:t xml:space="preserve">  </w:t>
      </w:r>
      <w:r w:rsidR="00244AF4" w:rsidRPr="00244AF4">
        <w:rPr>
          <w:rFonts w:hint="eastAsia"/>
          <w:lang w:val="en-GB"/>
        </w:rPr>
        <w:t>任何人不应仅因组织或参与和平抗议的行为而被追究刑事、民事或行政责任。</w:t>
      </w:r>
    </w:p>
    <w:p w:rsidR="00244AF4" w:rsidRPr="00DE0653" w:rsidRDefault="004527D5" w:rsidP="00244AF4">
      <w:pPr>
        <w:pStyle w:val="SingleTxtGC"/>
        <w:rPr>
          <w:rFonts w:eastAsia="SimHei"/>
        </w:rPr>
      </w:pPr>
      <w:r w:rsidRPr="00DE0653">
        <w:rPr>
          <w:rFonts w:eastAsia="SimHei"/>
        </w:rPr>
        <w:t>28.</w:t>
      </w:r>
      <w:r w:rsidR="003C70F0" w:rsidRPr="00DE0653">
        <w:rPr>
          <w:rFonts w:eastAsia="SimHei"/>
        </w:rPr>
        <w:t xml:space="preserve">  </w:t>
      </w:r>
      <w:r w:rsidR="00244AF4" w:rsidRPr="00DE0653">
        <w:rPr>
          <w:rFonts w:eastAsia="SimHei"/>
          <w:bCs/>
          <w:lang w:val="en-GB"/>
        </w:rPr>
        <w:t>实用建议</w:t>
      </w:r>
      <w:r w:rsidRPr="00DE0653">
        <w:rPr>
          <w:rFonts w:eastAsia="SimHei"/>
          <w:bCs/>
          <w:lang w:val="en-GB"/>
        </w:rPr>
        <w:t>：</w:t>
      </w:r>
    </w:p>
    <w:p w:rsidR="00244AF4" w:rsidRPr="00DE0653" w:rsidRDefault="00244AF4" w:rsidP="00244AF4">
      <w:pPr>
        <w:pStyle w:val="SingleTxtGC"/>
        <w:rPr>
          <w:rFonts w:eastAsia="SimHei"/>
          <w:bCs/>
        </w:rPr>
      </w:pPr>
      <w:bookmarkStart w:id="14" w:name="h.4d34og8" w:colFirst="0" w:colLast="0"/>
      <w:bookmarkStart w:id="15" w:name="h.2s8eyo1" w:colFirst="0" w:colLast="0"/>
      <w:bookmarkStart w:id="16" w:name="h.17dp8vu" w:colFirst="0" w:colLast="0"/>
      <w:bookmarkEnd w:id="14"/>
      <w:bookmarkEnd w:id="15"/>
      <w:bookmarkEnd w:id="16"/>
      <w:r w:rsidRPr="00DE0653">
        <w:rPr>
          <w:rFonts w:eastAsia="SimHei"/>
          <w:lang w:val="en-GB"/>
        </w:rPr>
        <w:tab/>
      </w:r>
      <w:r w:rsidR="004527D5" w:rsidRPr="00DE0653">
        <w:rPr>
          <w:rFonts w:eastAsia="SimHei"/>
          <w:bCs/>
          <w:lang w:val="en-GB"/>
        </w:rPr>
        <w:t>(a)</w:t>
      </w:r>
      <w:r w:rsidRPr="00DE0653">
        <w:rPr>
          <w:rFonts w:eastAsia="SimHei"/>
          <w:lang w:val="en-GB"/>
        </w:rPr>
        <w:tab/>
      </w:r>
      <w:r w:rsidRPr="00DE0653">
        <w:rPr>
          <w:rFonts w:eastAsia="SimHei" w:hint="eastAsia"/>
          <w:bCs/>
          <w:lang w:val="en-GB"/>
        </w:rPr>
        <w:t>各国必须确保事先通知制度均采取对集会有利的推定</w:t>
      </w:r>
      <w:r w:rsidR="004527D5" w:rsidRPr="00DE0653">
        <w:rPr>
          <w:rFonts w:eastAsia="SimHei" w:hint="eastAsia"/>
          <w:bCs/>
          <w:lang w:val="en-GB"/>
        </w:rPr>
        <w:t>，</w:t>
      </w:r>
      <w:r w:rsidRPr="00DE0653">
        <w:rPr>
          <w:rFonts w:eastAsia="SimHei" w:hint="eastAsia"/>
          <w:bCs/>
          <w:lang w:val="en-GB"/>
        </w:rPr>
        <w:t>严格限定主管部门限制集会的酌处权</w:t>
      </w:r>
      <w:r w:rsidR="004527D5" w:rsidRPr="00DE0653">
        <w:rPr>
          <w:rFonts w:eastAsia="SimHei" w:hint="eastAsia"/>
          <w:bCs/>
          <w:lang w:val="en-GB"/>
        </w:rPr>
        <w:t>，</w:t>
      </w:r>
      <w:r w:rsidRPr="00DE0653">
        <w:rPr>
          <w:rFonts w:eastAsia="SimHei" w:hint="eastAsia"/>
          <w:bCs/>
          <w:lang w:val="en-GB"/>
        </w:rPr>
        <w:t>并纳入相称性评估</w:t>
      </w:r>
      <w:r w:rsidR="004527D5" w:rsidRPr="00DE0653">
        <w:rPr>
          <w:rFonts w:eastAsia="SimHei" w:hint="eastAsia"/>
          <w:bCs/>
          <w:lang w:val="en-GB"/>
        </w:rPr>
        <w:t>；</w:t>
      </w:r>
    </w:p>
    <w:p w:rsidR="00244AF4" w:rsidRPr="00DE0653" w:rsidRDefault="00244AF4" w:rsidP="00244AF4">
      <w:pPr>
        <w:pStyle w:val="SingleTxtGC"/>
        <w:rPr>
          <w:rFonts w:eastAsia="SimHei"/>
          <w:bCs/>
        </w:rPr>
      </w:pPr>
      <w:r w:rsidRPr="00DE0653">
        <w:rPr>
          <w:rFonts w:eastAsia="SimHei"/>
          <w:lang w:val="en-GB"/>
        </w:rPr>
        <w:tab/>
      </w:r>
      <w:r w:rsidR="004527D5" w:rsidRPr="00DE0653">
        <w:rPr>
          <w:rFonts w:eastAsia="SimHei"/>
          <w:bCs/>
          <w:lang w:val="en-GB"/>
        </w:rPr>
        <w:t>(b)</w:t>
      </w:r>
      <w:r w:rsidRPr="00DE0653">
        <w:rPr>
          <w:rFonts w:eastAsia="SimHei"/>
          <w:lang w:val="en-GB"/>
        </w:rPr>
        <w:tab/>
      </w:r>
      <w:r w:rsidRPr="00DE0653">
        <w:rPr>
          <w:rFonts w:eastAsia="SimHei" w:hint="eastAsia"/>
          <w:bCs/>
          <w:lang w:val="en-GB"/>
        </w:rPr>
        <w:t>各国在法律上或实践中不应要求组织者在举行集会获得事先批准。如实施通知制度</w:t>
      </w:r>
      <w:r w:rsidR="004527D5" w:rsidRPr="00DE0653">
        <w:rPr>
          <w:rFonts w:eastAsia="SimHei" w:hint="eastAsia"/>
          <w:bCs/>
          <w:lang w:val="en-GB"/>
        </w:rPr>
        <w:t>，</w:t>
      </w:r>
      <w:r w:rsidRPr="00DE0653">
        <w:rPr>
          <w:rFonts w:eastAsia="SimHei" w:hint="eastAsia"/>
          <w:bCs/>
          <w:lang w:val="en-GB"/>
        </w:rPr>
        <w:t>它必须为和平集会提供便利</w:t>
      </w:r>
      <w:r w:rsidR="004527D5" w:rsidRPr="00DE0653">
        <w:rPr>
          <w:rFonts w:eastAsia="SimHei" w:hint="eastAsia"/>
          <w:bCs/>
          <w:lang w:val="en-GB"/>
        </w:rPr>
        <w:t>，</w:t>
      </w:r>
      <w:r w:rsidRPr="00DE0653">
        <w:rPr>
          <w:rFonts w:eastAsia="SimHei" w:hint="eastAsia"/>
          <w:bCs/>
          <w:lang w:val="en-GB"/>
        </w:rPr>
        <w:t>而不应成为事实上的事先批准要求</w:t>
      </w:r>
      <w:r w:rsidR="004527D5" w:rsidRPr="00DE0653">
        <w:rPr>
          <w:rFonts w:eastAsia="SimHei" w:hint="eastAsia"/>
          <w:bCs/>
          <w:lang w:val="en-GB"/>
        </w:rPr>
        <w:t>；</w:t>
      </w:r>
    </w:p>
    <w:p w:rsidR="00244AF4" w:rsidRPr="00DE0653" w:rsidRDefault="00244AF4" w:rsidP="00244AF4">
      <w:pPr>
        <w:pStyle w:val="SingleTxtGC"/>
        <w:rPr>
          <w:rFonts w:eastAsia="SimHei"/>
          <w:bCs/>
        </w:rPr>
      </w:pPr>
      <w:r w:rsidRPr="00DE0653">
        <w:rPr>
          <w:rFonts w:eastAsia="SimHei"/>
          <w:lang w:val="en-GB"/>
        </w:rPr>
        <w:tab/>
      </w:r>
      <w:r w:rsidR="004527D5" w:rsidRPr="00DE0653">
        <w:rPr>
          <w:rFonts w:eastAsia="SimHei"/>
          <w:bCs/>
          <w:lang w:val="en-GB"/>
        </w:rPr>
        <w:t>(c)</w:t>
      </w:r>
      <w:r w:rsidRPr="00DE0653">
        <w:rPr>
          <w:rFonts w:eastAsia="SimHei"/>
          <w:lang w:val="en-GB"/>
        </w:rPr>
        <w:tab/>
      </w:r>
      <w:r w:rsidRPr="00DE0653">
        <w:rPr>
          <w:rFonts w:eastAsia="SimHei" w:hint="eastAsia"/>
          <w:bCs/>
          <w:lang w:val="en-GB"/>
        </w:rPr>
        <w:t>通知制度不得过于官僚。简化通知程序的措施可包括</w:t>
      </w:r>
      <w:r w:rsidR="004527D5" w:rsidRPr="00DE0653">
        <w:rPr>
          <w:rFonts w:eastAsia="SimHei" w:hint="eastAsia"/>
          <w:bCs/>
          <w:lang w:val="en-GB"/>
        </w:rPr>
        <w:t>：</w:t>
      </w:r>
      <w:r w:rsidRPr="00DE0653">
        <w:rPr>
          <w:rFonts w:eastAsia="SimHei" w:hint="eastAsia"/>
          <w:bCs/>
          <w:lang w:val="en-GB"/>
        </w:rPr>
        <w:t>多个通报点</w:t>
      </w:r>
      <w:r w:rsidR="004527D5" w:rsidRPr="00DE0653">
        <w:rPr>
          <w:rFonts w:eastAsia="SimHei" w:hint="eastAsia"/>
          <w:bCs/>
          <w:lang w:val="en-GB"/>
        </w:rPr>
        <w:t>，</w:t>
      </w:r>
      <w:r w:rsidRPr="00DE0653">
        <w:rPr>
          <w:rFonts w:eastAsia="SimHei" w:hint="eastAsia"/>
          <w:bCs/>
          <w:lang w:val="en-GB"/>
        </w:rPr>
        <w:t>包括在城市地区之外</w:t>
      </w:r>
      <w:r w:rsidR="004527D5" w:rsidRPr="00DE0653">
        <w:rPr>
          <w:rFonts w:eastAsia="SimHei" w:hint="eastAsia"/>
          <w:bCs/>
          <w:lang w:val="en-GB"/>
        </w:rPr>
        <w:t>，</w:t>
      </w:r>
      <w:r w:rsidRPr="00DE0653">
        <w:rPr>
          <w:rFonts w:eastAsia="SimHei" w:hint="eastAsia"/>
          <w:bCs/>
          <w:lang w:val="en-GB"/>
        </w:rPr>
        <w:t>以及本人通报或协助通报</w:t>
      </w:r>
      <w:r w:rsidR="004527D5" w:rsidRPr="00DE0653">
        <w:rPr>
          <w:rFonts w:eastAsia="SimHei" w:hint="eastAsia"/>
          <w:bCs/>
          <w:lang w:val="en-GB"/>
        </w:rPr>
        <w:t>；</w:t>
      </w:r>
      <w:r w:rsidRPr="00DE0653">
        <w:rPr>
          <w:rFonts w:eastAsia="SimHei" w:hint="eastAsia"/>
          <w:bCs/>
          <w:lang w:val="en-GB"/>
        </w:rPr>
        <w:t>使用便于获取、简洁和以多种语言提供的表格。</w:t>
      </w:r>
      <w:r w:rsidRPr="00DE0653">
        <w:rPr>
          <w:rFonts w:eastAsia="SimHei" w:hint="eastAsia"/>
          <w:bCs/>
        </w:rPr>
        <w:t>在</w:t>
      </w:r>
      <w:r w:rsidRPr="00DE0653">
        <w:rPr>
          <w:rFonts w:eastAsia="SimHei" w:hint="eastAsia"/>
          <w:bCs/>
          <w:lang w:val="en-GB"/>
        </w:rPr>
        <w:t>互联网普及率高的地方</w:t>
      </w:r>
      <w:r w:rsidR="004527D5" w:rsidRPr="00DE0653">
        <w:rPr>
          <w:rFonts w:eastAsia="SimHei" w:hint="eastAsia"/>
          <w:bCs/>
          <w:lang w:val="en-GB"/>
        </w:rPr>
        <w:t>，</w:t>
      </w:r>
      <w:r w:rsidRPr="00DE0653">
        <w:rPr>
          <w:rFonts w:eastAsia="SimHei" w:hint="eastAsia"/>
          <w:bCs/>
          <w:lang w:val="en-GB"/>
        </w:rPr>
        <w:t>主管部门应考虑使用在线通报系统</w:t>
      </w:r>
      <w:r w:rsidR="004527D5" w:rsidRPr="00DE0653">
        <w:rPr>
          <w:rFonts w:eastAsia="SimHei" w:hint="eastAsia"/>
          <w:bCs/>
          <w:lang w:val="en-GB"/>
        </w:rPr>
        <w:t>；</w:t>
      </w:r>
    </w:p>
    <w:p w:rsidR="00244AF4" w:rsidRPr="00DE0653" w:rsidRDefault="00244AF4" w:rsidP="006F5050">
      <w:pPr>
        <w:pStyle w:val="SingleTxtGC"/>
        <w:rPr>
          <w:rFonts w:eastAsia="SimHei"/>
          <w:bCs/>
        </w:rPr>
      </w:pPr>
      <w:r w:rsidRPr="00DE0653">
        <w:rPr>
          <w:rFonts w:eastAsia="SimHei"/>
          <w:lang w:val="en-GB"/>
        </w:rPr>
        <w:tab/>
      </w:r>
      <w:r w:rsidR="004527D5" w:rsidRPr="00DE0653">
        <w:rPr>
          <w:rFonts w:eastAsia="SimHei"/>
          <w:bCs/>
          <w:lang w:val="en-GB"/>
        </w:rPr>
        <w:t>(d)</w:t>
      </w:r>
      <w:r w:rsidRPr="00DE0653">
        <w:rPr>
          <w:rFonts w:eastAsia="SimHei"/>
          <w:lang w:val="en-GB"/>
        </w:rPr>
        <w:tab/>
      </w:r>
      <w:r w:rsidRPr="00DE0653">
        <w:rPr>
          <w:rFonts w:eastAsia="SimHei" w:hint="eastAsia"/>
          <w:bCs/>
          <w:lang w:val="en-GB"/>
        </w:rPr>
        <w:t>通知期限必须尽可能短</w:t>
      </w:r>
      <w:r w:rsidR="004527D5" w:rsidRPr="00DE0653">
        <w:rPr>
          <w:rFonts w:eastAsia="SimHei" w:hint="eastAsia"/>
          <w:bCs/>
          <w:lang w:val="en-GB"/>
        </w:rPr>
        <w:t>，</w:t>
      </w:r>
      <w:r w:rsidRPr="00DE0653">
        <w:rPr>
          <w:rFonts w:eastAsia="SimHei" w:hint="eastAsia"/>
          <w:bCs/>
          <w:lang w:val="en-GB"/>
        </w:rPr>
        <w:t>同时仍使当局有足够时间为集会进行准备</w:t>
      </w:r>
      <w:r w:rsidR="006F5050" w:rsidRPr="006F5050">
        <w:rPr>
          <w:rFonts w:eastAsia="SimHei" w:hint="eastAsia"/>
          <w:bCs/>
          <w:spacing w:val="-50"/>
          <w:lang w:val="en-GB"/>
        </w:rPr>
        <w:t>―</w:t>
      </w:r>
      <w:r w:rsidR="006F5050" w:rsidRPr="006F5050">
        <w:rPr>
          <w:rFonts w:eastAsia="SimHei" w:hint="eastAsia"/>
          <w:bCs/>
          <w:lang w:val="en-GB"/>
        </w:rPr>
        <w:t>―</w:t>
      </w:r>
      <w:r w:rsidRPr="00DE0653">
        <w:rPr>
          <w:rFonts w:eastAsia="SimHei" w:hint="eastAsia"/>
          <w:bCs/>
          <w:lang w:val="en-GB"/>
        </w:rPr>
        <w:t>最多几天</w:t>
      </w:r>
      <w:r w:rsidR="004527D5" w:rsidRPr="00DE0653">
        <w:rPr>
          <w:rFonts w:eastAsia="SimHei" w:hint="eastAsia"/>
          <w:bCs/>
          <w:lang w:val="en-GB"/>
        </w:rPr>
        <w:t>，</w:t>
      </w:r>
      <w:r w:rsidRPr="00DE0653">
        <w:rPr>
          <w:rFonts w:eastAsia="SimHei" w:hint="eastAsia"/>
          <w:bCs/>
          <w:lang w:val="en-GB"/>
        </w:rPr>
        <w:t>最好是在</w:t>
      </w:r>
      <w:r w:rsidR="004527D5" w:rsidRPr="00DE0653">
        <w:rPr>
          <w:rFonts w:eastAsia="SimHei" w:hint="eastAsia"/>
          <w:bCs/>
          <w:lang w:val="en-GB"/>
        </w:rPr>
        <w:t>48</w:t>
      </w:r>
      <w:r w:rsidRPr="00DE0653">
        <w:rPr>
          <w:rFonts w:eastAsia="SimHei" w:hint="eastAsia"/>
          <w:bCs/>
          <w:lang w:val="en-GB"/>
        </w:rPr>
        <w:t>小时内</w:t>
      </w:r>
      <w:r w:rsidR="004527D5" w:rsidRPr="00DE0653">
        <w:rPr>
          <w:rFonts w:eastAsia="SimHei" w:hint="eastAsia"/>
          <w:bCs/>
          <w:lang w:val="en-GB"/>
        </w:rPr>
        <w:t>；</w:t>
      </w:r>
    </w:p>
    <w:p w:rsidR="00244AF4" w:rsidRPr="00DE0653" w:rsidRDefault="00244AF4" w:rsidP="00244AF4">
      <w:pPr>
        <w:pStyle w:val="SingleTxtGC"/>
        <w:rPr>
          <w:rFonts w:eastAsia="SimHei"/>
          <w:bCs/>
        </w:rPr>
      </w:pPr>
      <w:r w:rsidRPr="00DE0653">
        <w:rPr>
          <w:rFonts w:eastAsia="SimHei"/>
          <w:lang w:val="en-GB"/>
        </w:rPr>
        <w:tab/>
      </w:r>
      <w:r w:rsidR="004527D5" w:rsidRPr="00DE0653">
        <w:rPr>
          <w:rFonts w:eastAsia="SimHei"/>
          <w:bCs/>
          <w:lang w:val="en-GB"/>
        </w:rPr>
        <w:t>(e)</w:t>
      </w:r>
      <w:r w:rsidRPr="00DE0653">
        <w:rPr>
          <w:rFonts w:eastAsia="SimHei"/>
          <w:lang w:val="en-GB"/>
        </w:rPr>
        <w:tab/>
      </w:r>
      <w:r w:rsidRPr="00DE0653">
        <w:rPr>
          <w:rFonts w:eastAsia="SimHei" w:hint="eastAsia"/>
          <w:bCs/>
          <w:lang w:val="en-GB"/>
        </w:rPr>
        <w:t>在主管部门收到通知</w:t>
      </w:r>
      <w:r w:rsidR="004527D5" w:rsidRPr="00DE0653">
        <w:rPr>
          <w:rFonts w:eastAsia="SimHei" w:hint="eastAsia"/>
          <w:bCs/>
          <w:lang w:val="en-GB"/>
        </w:rPr>
        <w:t>，</w:t>
      </w:r>
      <w:r w:rsidRPr="00DE0653">
        <w:rPr>
          <w:rFonts w:eastAsia="SimHei" w:hint="eastAsia"/>
          <w:bCs/>
          <w:lang w:val="en-GB"/>
        </w:rPr>
        <w:t>有足够资料供其合理确定集会日期、时间和地点</w:t>
      </w:r>
      <w:r w:rsidR="004527D5" w:rsidRPr="00DE0653">
        <w:rPr>
          <w:rFonts w:eastAsia="SimHei" w:hint="eastAsia"/>
          <w:bCs/>
          <w:lang w:val="en-GB"/>
        </w:rPr>
        <w:t>，</w:t>
      </w:r>
      <w:r w:rsidRPr="00DE0653">
        <w:rPr>
          <w:rFonts w:eastAsia="SimHei" w:hint="eastAsia"/>
          <w:bCs/>
          <w:lang w:val="en-GB"/>
        </w:rPr>
        <w:t>以及</w:t>
      </w:r>
      <w:r w:rsidR="004527D5" w:rsidRPr="00DE0653">
        <w:rPr>
          <w:rFonts w:eastAsia="SimHei" w:hint="eastAsia"/>
          <w:bCs/>
          <w:lang w:val="en-GB"/>
        </w:rPr>
        <w:t>(</w:t>
      </w:r>
      <w:r w:rsidRPr="00DE0653">
        <w:rPr>
          <w:rFonts w:eastAsia="SimHei" w:hint="eastAsia"/>
          <w:bCs/>
          <w:lang w:val="en-GB"/>
        </w:rPr>
        <w:t>有必要时</w:t>
      </w:r>
      <w:r w:rsidR="004527D5" w:rsidRPr="00DE0653">
        <w:rPr>
          <w:rFonts w:eastAsia="SimHei" w:hint="eastAsia"/>
          <w:bCs/>
          <w:lang w:val="en-GB"/>
        </w:rPr>
        <w:t>)</w:t>
      </w:r>
      <w:r w:rsidRPr="00DE0653">
        <w:rPr>
          <w:rFonts w:eastAsia="SimHei" w:hint="eastAsia"/>
          <w:bCs/>
          <w:lang w:val="en-GB"/>
        </w:rPr>
        <w:t>组织者的详细联系方式时</w:t>
      </w:r>
      <w:r w:rsidR="004527D5" w:rsidRPr="00DE0653">
        <w:rPr>
          <w:rFonts w:eastAsia="SimHei" w:hint="eastAsia"/>
          <w:bCs/>
          <w:lang w:val="en-GB"/>
        </w:rPr>
        <w:t>，</w:t>
      </w:r>
      <w:r w:rsidRPr="00DE0653">
        <w:rPr>
          <w:rFonts w:eastAsia="SimHei" w:hint="eastAsia"/>
          <w:bCs/>
          <w:lang w:val="en-GB"/>
        </w:rPr>
        <w:t>应视为通知已完成。完成通知过程或举行集会无需当局答复</w:t>
      </w:r>
      <w:r w:rsidR="004527D5" w:rsidRPr="00DE0653">
        <w:rPr>
          <w:rFonts w:eastAsia="SimHei" w:hint="eastAsia"/>
          <w:bCs/>
          <w:lang w:val="en-GB"/>
        </w:rPr>
        <w:t>；</w:t>
      </w:r>
    </w:p>
    <w:p w:rsidR="00244AF4" w:rsidRPr="00DE0653" w:rsidRDefault="00244AF4" w:rsidP="00244AF4">
      <w:pPr>
        <w:pStyle w:val="SingleTxtGC"/>
        <w:rPr>
          <w:rFonts w:eastAsia="SimHei"/>
          <w:bCs/>
        </w:rPr>
      </w:pPr>
      <w:r w:rsidRPr="00DE0653">
        <w:rPr>
          <w:rFonts w:eastAsia="SimHei"/>
          <w:lang w:val="en-GB"/>
        </w:rPr>
        <w:lastRenderedPageBreak/>
        <w:tab/>
      </w:r>
      <w:r w:rsidR="004527D5" w:rsidRPr="00DE0653">
        <w:rPr>
          <w:rFonts w:eastAsia="SimHei"/>
          <w:bCs/>
          <w:lang w:val="en-GB"/>
        </w:rPr>
        <w:t>(f)</w:t>
      </w:r>
      <w:r w:rsidRPr="00DE0653">
        <w:rPr>
          <w:rFonts w:eastAsia="SimHei"/>
          <w:bCs/>
          <w:lang w:val="en-GB"/>
        </w:rPr>
        <w:tab/>
      </w:r>
      <w:r w:rsidRPr="00DE0653">
        <w:rPr>
          <w:rFonts w:eastAsia="SimHei" w:hint="eastAsia"/>
          <w:bCs/>
          <w:lang w:val="en-GB"/>
        </w:rPr>
        <w:t>如果提交通知在相同地点和时间举行两个或以上的集会</w:t>
      </w:r>
      <w:r w:rsidR="004527D5" w:rsidRPr="00DE0653">
        <w:rPr>
          <w:rFonts w:eastAsia="SimHei" w:hint="eastAsia"/>
          <w:bCs/>
          <w:lang w:val="en-GB"/>
        </w:rPr>
        <w:t>，</w:t>
      </w:r>
      <w:r w:rsidRPr="00DE0653">
        <w:rPr>
          <w:rFonts w:eastAsia="SimHei" w:hint="eastAsia"/>
          <w:bCs/>
          <w:lang w:val="en-GB"/>
        </w:rPr>
        <w:t>当局应进行彻底的风险评估并制定战略减轻风险。</w:t>
      </w:r>
      <w:r w:rsidRPr="00DE0653">
        <w:rPr>
          <w:rFonts w:eastAsia="SimHei" w:hint="eastAsia"/>
          <w:bCs/>
        </w:rPr>
        <w:t>当</w:t>
      </w:r>
      <w:r w:rsidRPr="00DE0653">
        <w:rPr>
          <w:rFonts w:eastAsia="SimHei" w:hint="eastAsia"/>
          <w:bCs/>
          <w:lang w:val="en-GB"/>
        </w:rPr>
        <w:t>有必要限制一个或多个同时集会时</w:t>
      </w:r>
      <w:r w:rsidR="004527D5" w:rsidRPr="00DE0653">
        <w:rPr>
          <w:rFonts w:eastAsia="SimHei" w:hint="eastAsia"/>
          <w:bCs/>
          <w:lang w:val="en-GB"/>
        </w:rPr>
        <w:t>，</w:t>
      </w:r>
      <w:r w:rsidRPr="00DE0653">
        <w:rPr>
          <w:rFonts w:eastAsia="SimHei" w:hint="eastAsia"/>
          <w:bCs/>
          <w:lang w:val="en-GB"/>
        </w:rPr>
        <w:t>应通过共同商定或</w:t>
      </w:r>
      <w:r w:rsidR="004527D5" w:rsidRPr="00DE0653">
        <w:rPr>
          <w:rFonts w:eastAsia="SimHei" w:hint="eastAsia"/>
          <w:bCs/>
          <w:lang w:val="en-GB"/>
        </w:rPr>
        <w:t>(</w:t>
      </w:r>
      <w:r w:rsidRPr="00DE0653">
        <w:rPr>
          <w:rFonts w:eastAsia="SimHei" w:hint="eastAsia"/>
          <w:bCs/>
          <w:lang w:val="en-GB"/>
        </w:rPr>
        <w:t>如不可能</w:t>
      </w:r>
      <w:r w:rsidR="004527D5" w:rsidRPr="00DE0653">
        <w:rPr>
          <w:rFonts w:eastAsia="SimHei" w:hint="eastAsia"/>
          <w:bCs/>
          <w:lang w:val="en-GB"/>
        </w:rPr>
        <w:t>)</w:t>
      </w:r>
      <w:r w:rsidRPr="00DE0653">
        <w:rPr>
          <w:rFonts w:eastAsia="SimHei" w:hint="eastAsia"/>
          <w:bCs/>
          <w:lang w:val="en-GB"/>
        </w:rPr>
        <w:t>通过对拟举行的集会一视同仁的进程来确定限制做法。</w:t>
      </w:r>
    </w:p>
    <w:p w:rsidR="00244AF4" w:rsidRPr="00244AF4" w:rsidRDefault="00244AF4" w:rsidP="004527D5">
      <w:pPr>
        <w:pStyle w:val="H1GC"/>
        <w:rPr>
          <w:lang w:val="en-GB"/>
        </w:rPr>
      </w:pPr>
      <w:bookmarkStart w:id="17" w:name="_Toc309730742"/>
      <w:bookmarkStart w:id="18" w:name="_Toc309730877"/>
      <w:bookmarkStart w:id="19" w:name="_Toc437525372"/>
      <w:bookmarkStart w:id="20" w:name="_Toc437529846"/>
      <w:bookmarkStart w:id="21" w:name="_Toc440290940"/>
      <w:r w:rsidRPr="00244AF4">
        <w:rPr>
          <w:lang w:val="en-GB"/>
        </w:rPr>
        <w:tab/>
      </w:r>
      <w:r w:rsidR="004527D5">
        <w:rPr>
          <w:lang w:val="en-GB"/>
        </w:rPr>
        <w:t>C</w:t>
      </w:r>
      <w:r w:rsidRPr="00244AF4">
        <w:rPr>
          <w:lang w:val="en-GB"/>
        </w:rPr>
        <w:t>.</w:t>
      </w:r>
      <w:r w:rsidRPr="00244AF4">
        <w:rPr>
          <w:lang w:val="en-GB"/>
        </w:rPr>
        <w:tab/>
      </w:r>
      <w:bookmarkEnd w:id="17"/>
      <w:bookmarkEnd w:id="18"/>
      <w:bookmarkEnd w:id="19"/>
      <w:bookmarkEnd w:id="20"/>
      <w:bookmarkEnd w:id="21"/>
      <w:r w:rsidRPr="00244AF4">
        <w:rPr>
          <w:rFonts w:hint="eastAsia"/>
          <w:lang w:val="en-GB"/>
        </w:rPr>
        <w:t>对和平集会施加的任何限制均应符合国际人权标准</w:t>
      </w:r>
    </w:p>
    <w:p w:rsidR="00244AF4" w:rsidRPr="00244AF4" w:rsidRDefault="004527D5" w:rsidP="00244AF4">
      <w:pPr>
        <w:pStyle w:val="SingleTxtGC"/>
        <w:rPr>
          <w:lang w:val="en-GB"/>
        </w:rPr>
      </w:pPr>
      <w:r>
        <w:t>29.</w:t>
      </w:r>
      <w:r w:rsidR="003C70F0">
        <w:t xml:space="preserve">  </w:t>
      </w:r>
      <w:r w:rsidR="00244AF4" w:rsidRPr="00244AF4">
        <w:rPr>
          <w:rFonts w:hint="eastAsia"/>
          <w:lang w:val="en-GB"/>
        </w:rPr>
        <w:t>和平集会自由是一项基本权利</w:t>
      </w:r>
      <w:r>
        <w:rPr>
          <w:rFonts w:hint="eastAsia"/>
          <w:lang w:val="en-GB"/>
        </w:rPr>
        <w:t>，</w:t>
      </w:r>
      <w:r w:rsidR="00244AF4" w:rsidRPr="00244AF4">
        <w:rPr>
          <w:rFonts w:hint="eastAsia"/>
          <w:lang w:val="en-GB"/>
        </w:rPr>
        <w:t>应尽最大可能不受限制地享有。采取的限制只能是民主社会为维护国家安全或公共安全、公共秩序、保护公共卫生或道德或保护他人权利和自由所必需的</w:t>
      </w:r>
      <w:r>
        <w:rPr>
          <w:rFonts w:hint="eastAsia"/>
          <w:lang w:val="en-GB"/>
        </w:rPr>
        <w:t>，</w:t>
      </w:r>
      <w:r w:rsidR="00244AF4" w:rsidRPr="00244AF4">
        <w:rPr>
          <w:rFonts w:hint="eastAsia"/>
          <w:lang w:val="en-GB"/>
        </w:rPr>
        <w:t>且须合法、必要并与所追求目标相称。任何限制都将是例外情况而非惯例</w:t>
      </w:r>
      <w:r>
        <w:rPr>
          <w:rFonts w:hint="eastAsia"/>
          <w:lang w:val="en-GB"/>
        </w:rPr>
        <w:t>，</w:t>
      </w:r>
      <w:r w:rsidR="00244AF4" w:rsidRPr="00244AF4">
        <w:rPr>
          <w:rFonts w:hint="eastAsia"/>
          <w:lang w:val="en-GB"/>
        </w:rPr>
        <w:t>且不得破坏权利最根本的内容。</w:t>
      </w:r>
      <w:r w:rsidR="00244AF4" w:rsidRPr="006A5AF9">
        <w:rPr>
          <w:color w:val="0000FF"/>
          <w:vertAlign w:val="superscript"/>
          <w:lang w:val="en-GB"/>
        </w:rPr>
        <w:footnoteReference w:id="19"/>
      </w:r>
    </w:p>
    <w:p w:rsidR="00244AF4" w:rsidRPr="00244AF4" w:rsidRDefault="004527D5" w:rsidP="00244AF4">
      <w:pPr>
        <w:pStyle w:val="SingleTxtGC"/>
      </w:pPr>
      <w:r>
        <w:t>30.</w:t>
      </w:r>
      <w:r w:rsidR="003C70F0">
        <w:t xml:space="preserve">  </w:t>
      </w:r>
      <w:r w:rsidR="00244AF4" w:rsidRPr="00244AF4">
        <w:rPr>
          <w:rFonts w:hint="eastAsia"/>
          <w:lang w:val="en-GB"/>
        </w:rPr>
        <w:t>为了符合合法性的要求</w:t>
      </w:r>
      <w:r>
        <w:rPr>
          <w:rFonts w:hint="eastAsia"/>
          <w:lang w:val="en-GB"/>
        </w:rPr>
        <w:t>，</w:t>
      </w:r>
      <w:r w:rsidR="00244AF4" w:rsidRPr="00244AF4">
        <w:rPr>
          <w:rFonts w:hint="eastAsia"/>
          <w:lang w:val="en-GB"/>
        </w:rPr>
        <w:t>施加任何限制必须有合理和正式的法律依据</w:t>
      </w:r>
      <w:r>
        <w:rPr>
          <w:rFonts w:hint="eastAsia"/>
          <w:lang w:val="en-GB"/>
        </w:rPr>
        <w:t>(</w:t>
      </w:r>
      <w:r w:rsidR="00244AF4" w:rsidRPr="00244AF4">
        <w:rPr>
          <w:rFonts w:hint="eastAsia"/>
          <w:lang w:val="en-GB"/>
        </w:rPr>
        <w:t>合法性原则</w:t>
      </w:r>
      <w:r>
        <w:rPr>
          <w:rFonts w:hint="eastAsia"/>
          <w:lang w:val="en-GB"/>
        </w:rPr>
        <w:t>)</w:t>
      </w:r>
      <w:r>
        <w:rPr>
          <w:rFonts w:hint="eastAsia"/>
          <w:lang w:val="en-GB"/>
        </w:rPr>
        <w:t>；</w:t>
      </w:r>
      <w:r w:rsidR="00244AF4" w:rsidRPr="00244AF4">
        <w:rPr>
          <w:rFonts w:hint="eastAsia"/>
          <w:lang w:val="en-GB"/>
        </w:rPr>
        <w:t>施加限制的主管部门的任务和权力也必须如此。</w:t>
      </w:r>
      <w:r w:rsidR="00244AF4" w:rsidRPr="006A5AF9">
        <w:rPr>
          <w:color w:val="0000FF"/>
          <w:vertAlign w:val="superscript"/>
          <w:lang w:val="en-GB"/>
        </w:rPr>
        <w:footnoteReference w:id="20"/>
      </w:r>
      <w:r>
        <w:rPr>
          <w:rFonts w:hint="eastAsia"/>
          <w:lang w:val="en-GB"/>
        </w:rPr>
        <w:t xml:space="preserve"> </w:t>
      </w:r>
      <w:r w:rsidR="00244AF4" w:rsidRPr="00244AF4">
        <w:rPr>
          <w:rFonts w:hint="eastAsia"/>
          <w:lang w:val="en-GB"/>
        </w:rPr>
        <w:t>法律本身必须足够精确</w:t>
      </w:r>
      <w:r>
        <w:rPr>
          <w:rFonts w:hint="eastAsia"/>
          <w:lang w:val="en-GB"/>
        </w:rPr>
        <w:t>，</w:t>
      </w:r>
      <w:r w:rsidR="00244AF4" w:rsidRPr="00244AF4">
        <w:rPr>
          <w:rFonts w:hint="eastAsia"/>
          <w:lang w:val="en-GB"/>
        </w:rPr>
        <w:t>使个人能够评估他或她的行为是否会违反法律</w:t>
      </w:r>
      <w:r>
        <w:rPr>
          <w:rFonts w:hint="eastAsia"/>
          <w:lang w:val="en-GB"/>
        </w:rPr>
        <w:t>，</w:t>
      </w:r>
      <w:r w:rsidR="00244AF4" w:rsidRPr="00244AF4">
        <w:rPr>
          <w:rFonts w:hint="eastAsia"/>
          <w:lang w:val="en-GB"/>
        </w:rPr>
        <w:t>并同时预见任何此种违法行为可能产生的后果。</w:t>
      </w:r>
      <w:r w:rsidR="00244AF4" w:rsidRPr="006A5AF9">
        <w:rPr>
          <w:color w:val="0000FF"/>
          <w:vertAlign w:val="superscript"/>
          <w:lang w:val="en-GB"/>
        </w:rPr>
        <w:footnoteReference w:id="21"/>
      </w:r>
      <w:r>
        <w:rPr>
          <w:rFonts w:hint="eastAsia"/>
          <w:lang w:val="en-GB"/>
        </w:rPr>
        <w:t xml:space="preserve"> </w:t>
      </w:r>
      <w:r w:rsidR="00244AF4" w:rsidRPr="00244AF4">
        <w:rPr>
          <w:rFonts w:hint="eastAsia"/>
          <w:lang w:val="en-GB"/>
        </w:rPr>
        <w:t>为了符合相称性原则</w:t>
      </w:r>
      <w:r>
        <w:rPr>
          <w:rFonts w:hint="eastAsia"/>
          <w:lang w:val="en-GB"/>
        </w:rPr>
        <w:t>，</w:t>
      </w:r>
      <w:r w:rsidR="00244AF4" w:rsidRPr="00244AF4">
        <w:rPr>
          <w:rFonts w:hint="eastAsia"/>
          <w:lang w:val="en-GB"/>
        </w:rPr>
        <w:t>限制必须适合实现保护功能。为了满足必要性要求</w:t>
      </w:r>
      <w:r>
        <w:rPr>
          <w:rFonts w:hint="eastAsia"/>
          <w:lang w:val="en-GB"/>
        </w:rPr>
        <w:t>，</w:t>
      </w:r>
      <w:r w:rsidR="00244AF4" w:rsidRPr="00244AF4">
        <w:rPr>
          <w:rFonts w:hint="eastAsia"/>
          <w:lang w:val="en-GB"/>
        </w:rPr>
        <w:t>限制还必须是可用来实现预期结果的诸种手段中侵犯性最小的一个。</w:t>
      </w:r>
      <w:r w:rsidR="00244AF4" w:rsidRPr="006A5AF9">
        <w:rPr>
          <w:color w:val="0000FF"/>
          <w:vertAlign w:val="superscript"/>
          <w:lang w:val="en-GB"/>
        </w:rPr>
        <w:footnoteReference w:id="22"/>
      </w:r>
      <w:r w:rsidR="00244AF4" w:rsidRPr="00244AF4">
        <w:rPr>
          <w:rFonts w:hint="eastAsia"/>
          <w:lang w:val="en-GB"/>
        </w:rPr>
        <w:t xml:space="preserve"> </w:t>
      </w:r>
      <w:r w:rsidR="00244AF4" w:rsidRPr="00244AF4">
        <w:rPr>
          <w:rFonts w:hint="eastAsia"/>
          <w:lang w:val="en-GB"/>
        </w:rPr>
        <w:t>限制必须严格符合主管部门的具体目标和关切问题</w:t>
      </w:r>
      <w:r>
        <w:rPr>
          <w:rFonts w:hint="eastAsia"/>
          <w:lang w:val="en-GB"/>
        </w:rPr>
        <w:t>，</w:t>
      </w:r>
      <w:r w:rsidR="00244AF4" w:rsidRPr="00244AF4">
        <w:rPr>
          <w:rFonts w:hint="eastAsia"/>
          <w:lang w:val="en-GB"/>
        </w:rPr>
        <w:t>并考虑到对拟举行的集会所涉各项权利的分析。在确定实现预期结果的侵犯性最小的手段时</w:t>
      </w:r>
      <w:r>
        <w:rPr>
          <w:rFonts w:hint="eastAsia"/>
          <w:lang w:val="en-GB"/>
        </w:rPr>
        <w:t>，</w:t>
      </w:r>
      <w:r w:rsidR="00244AF4" w:rsidRPr="00244AF4">
        <w:rPr>
          <w:rFonts w:hint="eastAsia"/>
          <w:lang w:val="en-GB"/>
        </w:rPr>
        <w:t>主管部门应考虑一系列措施</w:t>
      </w:r>
      <w:r>
        <w:rPr>
          <w:rFonts w:hint="eastAsia"/>
          <w:lang w:val="en-GB"/>
        </w:rPr>
        <w:t>，</w:t>
      </w:r>
      <w:r w:rsidR="00244AF4" w:rsidRPr="00244AF4">
        <w:rPr>
          <w:rFonts w:hint="eastAsia"/>
          <w:lang w:val="en-GB"/>
        </w:rPr>
        <w:t>以禁止作为最后手段。为此</w:t>
      </w:r>
      <w:r>
        <w:rPr>
          <w:rFonts w:hint="eastAsia"/>
          <w:lang w:val="en-GB"/>
        </w:rPr>
        <w:t>，</w:t>
      </w:r>
      <w:r w:rsidR="00244AF4" w:rsidRPr="00244AF4">
        <w:rPr>
          <w:rFonts w:hint="eastAsia"/>
          <w:lang w:val="en-GB"/>
        </w:rPr>
        <w:t>一律禁令</w:t>
      </w:r>
      <w:r>
        <w:rPr>
          <w:rFonts w:hint="eastAsia"/>
          <w:lang w:val="en-GB"/>
        </w:rPr>
        <w:t>，</w:t>
      </w:r>
      <w:r w:rsidR="00244AF4" w:rsidRPr="00244AF4">
        <w:rPr>
          <w:rFonts w:hint="eastAsia"/>
          <w:lang w:val="en-GB"/>
        </w:rPr>
        <w:t>包括完全禁止行使这项权利或禁止在特定地点或在具体时间行使这项权利根本上就是过分的</w:t>
      </w:r>
      <w:r>
        <w:rPr>
          <w:rFonts w:hint="eastAsia"/>
          <w:lang w:val="en-GB"/>
        </w:rPr>
        <w:t>，</w:t>
      </w:r>
      <w:r w:rsidR="00244AF4" w:rsidRPr="00244AF4">
        <w:rPr>
          <w:rFonts w:hint="eastAsia"/>
          <w:lang w:val="en-GB"/>
        </w:rPr>
        <w:t>因为它们排除了考虑每个拟举行的集会具体情况的可能性</w:t>
      </w:r>
      <w:r>
        <w:rPr>
          <w:rFonts w:hint="eastAsia"/>
          <w:lang w:val="en-GB"/>
        </w:rPr>
        <w:t>(</w:t>
      </w:r>
      <w:r w:rsidR="00244AF4" w:rsidRPr="00244AF4">
        <w:rPr>
          <w:rFonts w:hint="eastAsia"/>
          <w:lang w:val="en-GB"/>
        </w:rPr>
        <w:t>见</w:t>
      </w:r>
      <w:r>
        <w:rPr>
          <w:rFonts w:hint="eastAsia"/>
          <w:lang w:val="en-GB"/>
        </w:rPr>
        <w:t>A/HRC/</w:t>
      </w:r>
      <w:r w:rsidR="007330FC">
        <w:rPr>
          <w:rFonts w:hint="eastAsia"/>
          <w:lang w:val="en-GB"/>
        </w:rPr>
        <w:t xml:space="preserve"> </w:t>
      </w:r>
      <w:r>
        <w:rPr>
          <w:rFonts w:hint="eastAsia"/>
          <w:lang w:val="en-GB"/>
        </w:rPr>
        <w:t>23/39,</w:t>
      </w:r>
      <w:r w:rsidR="007330FC">
        <w:rPr>
          <w:rFonts w:hint="eastAsia"/>
          <w:lang w:val="en-GB"/>
        </w:rPr>
        <w:t xml:space="preserve"> </w:t>
      </w:r>
      <w:r w:rsidR="00244AF4" w:rsidRPr="00244AF4">
        <w:rPr>
          <w:rFonts w:hint="eastAsia"/>
          <w:lang w:val="en-GB"/>
        </w:rPr>
        <w:t>第</w:t>
      </w:r>
      <w:r>
        <w:rPr>
          <w:rFonts w:hint="eastAsia"/>
          <w:lang w:val="en-GB"/>
        </w:rPr>
        <w:t>63</w:t>
      </w:r>
      <w:r w:rsidR="00244AF4" w:rsidRPr="00244AF4">
        <w:rPr>
          <w:rFonts w:hint="eastAsia"/>
          <w:lang w:val="en-GB"/>
        </w:rPr>
        <w:t>段</w:t>
      </w:r>
      <w:r>
        <w:rPr>
          <w:rFonts w:hint="eastAsia"/>
          <w:lang w:val="en-GB"/>
        </w:rPr>
        <w:t>)</w:t>
      </w:r>
      <w:r w:rsidR="00244AF4" w:rsidRPr="00244AF4">
        <w:rPr>
          <w:rFonts w:hint="eastAsia"/>
          <w:lang w:val="en-GB"/>
        </w:rPr>
        <w:t>。</w:t>
      </w:r>
    </w:p>
    <w:p w:rsidR="00244AF4" w:rsidRPr="00244AF4" w:rsidRDefault="004527D5" w:rsidP="00244AF4">
      <w:pPr>
        <w:pStyle w:val="SingleTxtGC"/>
      </w:pPr>
      <w:r>
        <w:t>31.</w:t>
      </w:r>
      <w:r w:rsidR="003C70F0">
        <w:t xml:space="preserve">  </w:t>
      </w:r>
      <w:r w:rsidR="00244AF4" w:rsidRPr="00244AF4">
        <w:rPr>
          <w:rFonts w:hint="eastAsia"/>
          <w:lang w:val="en-GB"/>
        </w:rPr>
        <w:t>当一国援引国家安全和保护公共秩序来限制集会时</w:t>
      </w:r>
      <w:r>
        <w:rPr>
          <w:rFonts w:hint="eastAsia"/>
          <w:lang w:val="en-GB"/>
        </w:rPr>
        <w:t>，</w:t>
      </w:r>
      <w:r w:rsidR="00244AF4" w:rsidRPr="00244AF4">
        <w:rPr>
          <w:rFonts w:hint="eastAsia"/>
          <w:lang w:val="en-GB"/>
        </w:rPr>
        <w:t>该国必须证明所构成威胁和具体风险的确切性质。</w:t>
      </w:r>
      <w:r w:rsidR="00244AF4" w:rsidRPr="006A5AF9">
        <w:rPr>
          <w:color w:val="0000FF"/>
          <w:vertAlign w:val="superscript"/>
          <w:lang w:val="en-GB"/>
        </w:rPr>
        <w:footnoteReference w:id="23"/>
      </w:r>
      <w:r w:rsidR="007330FC">
        <w:rPr>
          <w:rFonts w:hint="eastAsia"/>
          <w:lang w:val="en-GB"/>
        </w:rPr>
        <w:t xml:space="preserve"> </w:t>
      </w:r>
      <w:r w:rsidR="00244AF4" w:rsidRPr="00244AF4">
        <w:rPr>
          <w:rFonts w:hint="eastAsia"/>
          <w:lang w:val="en-GB"/>
        </w:rPr>
        <w:t>国家笼统提及安全状况是不充分的。国家、政治或政府利益并不等同于国家安全或公共秩序。</w:t>
      </w:r>
    </w:p>
    <w:p w:rsidR="00244AF4" w:rsidRPr="00244AF4" w:rsidRDefault="004527D5" w:rsidP="00244AF4">
      <w:pPr>
        <w:pStyle w:val="SingleTxtGC"/>
      </w:pPr>
      <w:r>
        <w:t>32.</w:t>
      </w:r>
      <w:r w:rsidR="003C70F0">
        <w:t xml:space="preserve">  </w:t>
      </w:r>
      <w:r w:rsidR="00244AF4" w:rsidRPr="00244AF4">
        <w:rPr>
          <w:rFonts w:hint="eastAsia"/>
          <w:lang w:val="en-GB"/>
        </w:rPr>
        <w:t>集会与商业活动或车辆及行人交通流动一样</w:t>
      </w:r>
      <w:r>
        <w:rPr>
          <w:rFonts w:hint="eastAsia"/>
          <w:lang w:val="en-GB"/>
        </w:rPr>
        <w:t>，</w:t>
      </w:r>
      <w:r w:rsidR="00244AF4" w:rsidRPr="00244AF4">
        <w:rPr>
          <w:rFonts w:hint="eastAsia"/>
          <w:lang w:val="en-GB"/>
        </w:rPr>
        <w:t>是对公共空间的合法使用。</w:t>
      </w:r>
      <w:r w:rsidR="00244AF4" w:rsidRPr="006A5AF9">
        <w:rPr>
          <w:color w:val="0000FF"/>
          <w:vertAlign w:val="superscript"/>
          <w:lang w:val="en-GB"/>
        </w:rPr>
        <w:footnoteReference w:id="24"/>
      </w:r>
      <w:r w:rsidR="00244AF4" w:rsidRPr="00244AF4">
        <w:rPr>
          <w:rFonts w:hint="eastAsia"/>
          <w:lang w:val="en-GB"/>
        </w:rPr>
        <w:t>对公共空间的使用都需要某种程度的协调以保护不同利益</w:t>
      </w:r>
      <w:r>
        <w:rPr>
          <w:rFonts w:hint="eastAsia"/>
          <w:lang w:val="en-GB"/>
        </w:rPr>
        <w:t>，</w:t>
      </w:r>
      <w:r w:rsidR="00244AF4" w:rsidRPr="00244AF4">
        <w:rPr>
          <w:rFonts w:hint="eastAsia"/>
          <w:lang w:val="en-GB"/>
        </w:rPr>
        <w:t>但个人也有许多使用</w:t>
      </w:r>
      <w:r w:rsidR="00244AF4" w:rsidRPr="00244AF4">
        <w:rPr>
          <w:rFonts w:hint="eastAsia"/>
          <w:lang w:val="en-GB"/>
        </w:rPr>
        <w:lastRenderedPageBreak/>
        <w:t>公共空间的合法途径。如果不剥夺该权利的实质内容</w:t>
      </w:r>
      <w:r>
        <w:rPr>
          <w:rFonts w:hint="eastAsia"/>
          <w:lang w:val="en-GB"/>
        </w:rPr>
        <w:t>，</w:t>
      </w:r>
      <w:r w:rsidR="00244AF4" w:rsidRPr="00244AF4">
        <w:rPr>
          <w:rFonts w:hint="eastAsia"/>
          <w:lang w:val="en-GB"/>
        </w:rPr>
        <w:t>就必须容忍集会对正常生活造成的一定程度的扰乱</w:t>
      </w:r>
      <w:r>
        <w:rPr>
          <w:rFonts w:hint="eastAsia"/>
          <w:lang w:val="en-GB"/>
        </w:rPr>
        <w:t>，</w:t>
      </w:r>
      <w:r w:rsidR="00244AF4" w:rsidRPr="00244AF4">
        <w:rPr>
          <w:rFonts w:hint="eastAsia"/>
          <w:lang w:val="en-GB"/>
        </w:rPr>
        <w:t>包括中断交通、</w:t>
      </w:r>
      <w:r w:rsidR="00244AF4" w:rsidRPr="00244AF4">
        <w:rPr>
          <w:rFonts w:hint="eastAsia"/>
          <w:lang w:val="en-GB"/>
        </w:rPr>
        <w:t xml:space="preserve"> </w:t>
      </w:r>
      <w:r w:rsidR="00244AF4" w:rsidRPr="00244AF4">
        <w:rPr>
          <w:rFonts w:hint="eastAsia"/>
          <w:lang w:val="en-GB"/>
        </w:rPr>
        <w:t>干扰甚至损害商业活动。</w:t>
      </w:r>
      <w:r w:rsidR="00244AF4" w:rsidRPr="006A5AF9">
        <w:rPr>
          <w:color w:val="0000FF"/>
          <w:vertAlign w:val="superscript"/>
          <w:lang w:val="en-GB"/>
        </w:rPr>
        <w:footnoteReference w:id="25"/>
      </w:r>
    </w:p>
    <w:p w:rsidR="00244AF4" w:rsidRPr="00244AF4" w:rsidRDefault="004527D5" w:rsidP="00244AF4">
      <w:pPr>
        <w:pStyle w:val="SingleTxtGC"/>
      </w:pPr>
      <w:r>
        <w:t>33.</w:t>
      </w:r>
      <w:r w:rsidR="003C70F0">
        <w:t xml:space="preserve">  </w:t>
      </w:r>
      <w:r w:rsidR="00244AF4" w:rsidRPr="00244AF4">
        <w:rPr>
          <w:rFonts w:hint="eastAsia"/>
          <w:lang w:val="en-GB"/>
        </w:rPr>
        <w:t>集会参与者可自由选择和表达其信息的内容。只有在符合上文所概述的对权利的正当限制的情况下</w:t>
      </w:r>
      <w:r>
        <w:rPr>
          <w:rFonts w:hint="eastAsia"/>
          <w:lang w:val="en-GB"/>
        </w:rPr>
        <w:t>(</w:t>
      </w:r>
      <w:r w:rsidR="00244AF4" w:rsidRPr="00244AF4">
        <w:rPr>
          <w:rFonts w:hint="eastAsia"/>
          <w:lang w:val="en-GB"/>
        </w:rPr>
        <w:t>例如</w:t>
      </w:r>
      <w:r>
        <w:rPr>
          <w:rFonts w:hint="eastAsia"/>
          <w:lang w:val="en-GB"/>
        </w:rPr>
        <w:t>，</w:t>
      </w:r>
      <w:r w:rsidR="00244AF4" w:rsidRPr="00244AF4">
        <w:rPr>
          <w:rFonts w:hint="eastAsia"/>
          <w:lang w:val="en-GB"/>
        </w:rPr>
        <w:t>信息鼓吹构成煽动歧视、敌意或暴力的民族、种族或宗教仇恨</w:t>
      </w:r>
      <w:r>
        <w:rPr>
          <w:rFonts w:hint="eastAsia"/>
          <w:lang w:val="en-GB"/>
        </w:rPr>
        <w:t>)</w:t>
      </w:r>
      <w:r>
        <w:rPr>
          <w:rFonts w:hint="eastAsia"/>
          <w:lang w:val="en-GB"/>
        </w:rPr>
        <w:t>，</w:t>
      </w:r>
      <w:r w:rsidR="00244AF4" w:rsidRPr="00244AF4">
        <w:rPr>
          <w:rFonts w:hint="eastAsia"/>
          <w:lang w:val="en-GB"/>
        </w:rPr>
        <w:t>方可对集会的内容加以限制。如果基于内容的限制是合理的</w:t>
      </w:r>
      <w:r>
        <w:rPr>
          <w:rFonts w:hint="eastAsia"/>
          <w:lang w:val="en-GB"/>
        </w:rPr>
        <w:t>，</w:t>
      </w:r>
      <w:r w:rsidR="00244AF4" w:rsidRPr="00244AF4">
        <w:rPr>
          <w:rFonts w:hint="eastAsia"/>
          <w:lang w:val="en-GB"/>
        </w:rPr>
        <w:t>主管部门应采取侵犯性和限制性最小的措施来处理这一问题。</w:t>
      </w:r>
    </w:p>
    <w:p w:rsidR="00244AF4" w:rsidRPr="00244AF4" w:rsidRDefault="004527D5" w:rsidP="00244AF4">
      <w:pPr>
        <w:pStyle w:val="SingleTxtGC"/>
      </w:pPr>
      <w:r>
        <w:t>34.</w:t>
      </w:r>
      <w:r w:rsidR="003C70F0">
        <w:t xml:space="preserve">  </w:t>
      </w:r>
      <w:r>
        <w:rPr>
          <w:rFonts w:hint="eastAsia"/>
          <w:lang w:val="en-GB"/>
        </w:rPr>
        <w:t>“</w:t>
      </w:r>
      <w:r w:rsidR="00244AF4" w:rsidRPr="00244AF4">
        <w:rPr>
          <w:rFonts w:hint="eastAsia"/>
          <w:lang w:val="en-GB"/>
        </w:rPr>
        <w:t>时间、地点和方式</w:t>
      </w:r>
      <w:r>
        <w:rPr>
          <w:rFonts w:hint="eastAsia"/>
          <w:lang w:val="en-GB"/>
        </w:rPr>
        <w:t>”</w:t>
      </w:r>
      <w:r w:rsidR="00244AF4" w:rsidRPr="00244AF4">
        <w:rPr>
          <w:rFonts w:hint="eastAsia"/>
          <w:lang w:val="en-GB"/>
        </w:rPr>
        <w:t>限制系指对在何时、何地及以何种方式举行集会的事先限制。决不应利用此类限制来破坏集会的信息或言论价值</w:t>
      </w:r>
      <w:r>
        <w:rPr>
          <w:rFonts w:hint="eastAsia"/>
          <w:lang w:val="en-GB"/>
        </w:rPr>
        <w:t>，</w:t>
      </w:r>
      <w:r w:rsidR="00244AF4" w:rsidRPr="00244AF4">
        <w:rPr>
          <w:rFonts w:hint="eastAsia"/>
          <w:lang w:val="en-GB"/>
        </w:rPr>
        <w:t>或妨碍集会自由权的行使。</w:t>
      </w:r>
    </w:p>
    <w:p w:rsidR="00244AF4" w:rsidRPr="00244AF4" w:rsidRDefault="004527D5" w:rsidP="00244AF4">
      <w:pPr>
        <w:pStyle w:val="SingleTxtGC"/>
      </w:pPr>
      <w:r>
        <w:t>35.</w:t>
      </w:r>
      <w:r w:rsidR="003C70F0">
        <w:t xml:space="preserve">  </w:t>
      </w:r>
      <w:r w:rsidR="00244AF4" w:rsidRPr="00244AF4">
        <w:rPr>
          <w:rFonts w:hint="eastAsia"/>
          <w:lang w:val="en-GB"/>
        </w:rPr>
        <w:t>说明限制理由的责任属于主管部门。如果实行限制</w:t>
      </w:r>
      <w:r>
        <w:rPr>
          <w:rFonts w:hint="eastAsia"/>
          <w:lang w:val="en-GB"/>
        </w:rPr>
        <w:t>，</w:t>
      </w:r>
      <w:r w:rsidR="00244AF4" w:rsidRPr="00244AF4">
        <w:rPr>
          <w:rFonts w:hint="eastAsia"/>
          <w:lang w:val="en-GB"/>
        </w:rPr>
        <w:t>组织者应可选择要求进行迅速、有效、独立和公正的司法审查和</w:t>
      </w:r>
      <w:r>
        <w:rPr>
          <w:rFonts w:hint="eastAsia"/>
          <w:lang w:val="en-GB"/>
        </w:rPr>
        <w:t>(</w:t>
      </w:r>
      <w:r w:rsidR="00244AF4" w:rsidRPr="00244AF4">
        <w:rPr>
          <w:rFonts w:hint="eastAsia"/>
          <w:lang w:val="en-GB"/>
        </w:rPr>
        <w:t>必要时</w:t>
      </w:r>
      <w:r>
        <w:rPr>
          <w:rFonts w:hint="eastAsia"/>
          <w:lang w:val="en-GB"/>
        </w:rPr>
        <w:t>)</w:t>
      </w:r>
      <w:r w:rsidR="00244AF4" w:rsidRPr="00244AF4">
        <w:rPr>
          <w:rFonts w:hint="eastAsia"/>
          <w:lang w:val="en-GB"/>
        </w:rPr>
        <w:t>行政审查。</w:t>
      </w:r>
      <w:r w:rsidR="00244AF4" w:rsidRPr="006A5AF9">
        <w:rPr>
          <w:color w:val="0000FF"/>
          <w:vertAlign w:val="superscript"/>
          <w:lang w:val="en-GB"/>
        </w:rPr>
        <w:footnoteReference w:id="26"/>
      </w:r>
    </w:p>
    <w:p w:rsidR="00244AF4" w:rsidRPr="00DE0653" w:rsidRDefault="004527D5" w:rsidP="00244AF4">
      <w:pPr>
        <w:pStyle w:val="SingleTxtGC"/>
        <w:rPr>
          <w:rFonts w:eastAsia="SimHei"/>
          <w:bCs/>
        </w:rPr>
      </w:pPr>
      <w:r w:rsidRPr="00DE0653">
        <w:rPr>
          <w:rFonts w:eastAsia="SimHei"/>
          <w:bCs/>
        </w:rPr>
        <w:t>36.</w:t>
      </w:r>
      <w:r w:rsidR="003C70F0" w:rsidRPr="00DE0653">
        <w:rPr>
          <w:rFonts w:eastAsia="SimHei"/>
          <w:bCs/>
        </w:rPr>
        <w:t xml:space="preserve">  </w:t>
      </w:r>
      <w:r w:rsidR="00244AF4" w:rsidRPr="00DE0653">
        <w:rPr>
          <w:rFonts w:eastAsia="SimHei"/>
          <w:bCs/>
          <w:lang w:val="en-GB"/>
        </w:rPr>
        <w:t>实用建议</w:t>
      </w:r>
      <w:r w:rsidRPr="00DE0653">
        <w:rPr>
          <w:rFonts w:eastAsia="SimHei"/>
          <w:bCs/>
          <w:lang w:val="en-GB"/>
        </w:rPr>
        <w:t>：</w:t>
      </w:r>
    </w:p>
    <w:p w:rsidR="00244AF4" w:rsidRPr="00DE0653" w:rsidRDefault="004527D5" w:rsidP="00244AF4">
      <w:pPr>
        <w:pStyle w:val="SingleTxtGC"/>
        <w:rPr>
          <w:rFonts w:eastAsia="SimHei"/>
          <w:lang w:val="en-GB"/>
        </w:rPr>
      </w:pPr>
      <w:r w:rsidRPr="00DE0653">
        <w:rPr>
          <w:rFonts w:eastAsia="SimHei" w:hint="eastAsia"/>
          <w:bCs/>
          <w:lang w:val="en-GB"/>
        </w:rPr>
        <w:tab/>
      </w:r>
      <w:r w:rsidRPr="00DE0653">
        <w:rPr>
          <w:rFonts w:eastAsia="SimHei"/>
          <w:bCs/>
          <w:lang w:val="en-GB"/>
        </w:rPr>
        <w:t>(a)</w:t>
      </w:r>
      <w:r w:rsidR="00244AF4" w:rsidRPr="00DE0653">
        <w:rPr>
          <w:rFonts w:eastAsia="SimHei"/>
          <w:lang w:val="en-GB"/>
        </w:rPr>
        <w:tab/>
      </w:r>
      <w:r w:rsidR="00244AF4" w:rsidRPr="00DE0653">
        <w:rPr>
          <w:rFonts w:eastAsia="SimHei" w:hint="eastAsia"/>
          <w:lang w:val="en-GB"/>
        </w:rPr>
        <w:t>规范有关集会的国家行为的法律</w:t>
      </w:r>
      <w:r w:rsidR="00244AF4" w:rsidRPr="00DE0653">
        <w:rPr>
          <w:rFonts w:eastAsia="SimHei" w:hint="eastAsia"/>
        </w:rPr>
        <w:t>应拟定得清楚明确</w:t>
      </w:r>
      <w:r w:rsidRPr="00DE0653">
        <w:rPr>
          <w:rFonts w:eastAsia="SimHei" w:hint="eastAsia"/>
          <w:lang w:val="en-GB"/>
        </w:rPr>
        <w:t>，</w:t>
      </w:r>
      <w:r w:rsidR="00244AF4" w:rsidRPr="00DE0653">
        <w:rPr>
          <w:rFonts w:eastAsia="SimHei" w:hint="eastAsia"/>
          <w:lang w:val="en-GB"/>
        </w:rPr>
        <w:t>并纳入合法性、必要性和相称性标准。法律应明确规定负有接收和答复通知权责的机构</w:t>
      </w:r>
      <w:r w:rsidRPr="00DE0653">
        <w:rPr>
          <w:rFonts w:eastAsia="SimHei" w:hint="eastAsia"/>
          <w:lang w:val="en-GB"/>
        </w:rPr>
        <w:t>，</w:t>
      </w:r>
      <w:r w:rsidR="00244AF4" w:rsidRPr="00DE0653">
        <w:rPr>
          <w:rFonts w:eastAsia="SimHei" w:hint="eastAsia"/>
          <w:lang w:val="en-GB"/>
        </w:rPr>
        <w:t>且该机构应免受任何不当干涉。不应赋予该机构过大的酌处权</w:t>
      </w:r>
      <w:r w:rsidRPr="00DE0653">
        <w:rPr>
          <w:rFonts w:eastAsia="SimHei" w:hint="eastAsia"/>
          <w:lang w:val="en-GB"/>
        </w:rPr>
        <w:t>：</w:t>
      </w:r>
      <w:r w:rsidR="00244AF4" w:rsidRPr="00DE0653">
        <w:rPr>
          <w:rFonts w:eastAsia="SimHei" w:hint="eastAsia"/>
          <w:lang w:val="en-GB"/>
        </w:rPr>
        <w:t>该机构实施限制的标准应予以公布</w:t>
      </w:r>
      <w:r w:rsidRPr="00DE0653">
        <w:rPr>
          <w:rFonts w:eastAsia="SimHei" w:hint="eastAsia"/>
          <w:lang w:val="en-GB"/>
        </w:rPr>
        <w:t>，</w:t>
      </w:r>
      <w:r w:rsidR="00244AF4" w:rsidRPr="00DE0653">
        <w:rPr>
          <w:rFonts w:eastAsia="SimHei" w:hint="eastAsia"/>
          <w:lang w:val="en-GB"/>
        </w:rPr>
        <w:t>且必须符合国际人权法律和标准</w:t>
      </w:r>
      <w:r w:rsidRPr="00DE0653">
        <w:rPr>
          <w:rFonts w:eastAsia="SimHei" w:hint="eastAsia"/>
          <w:lang w:val="en-GB"/>
        </w:rPr>
        <w:t>；</w:t>
      </w:r>
    </w:p>
    <w:p w:rsidR="00244AF4" w:rsidRPr="00DE0653" w:rsidRDefault="004527D5" w:rsidP="00244AF4">
      <w:pPr>
        <w:pStyle w:val="SingleTxtGC"/>
        <w:rPr>
          <w:rFonts w:eastAsia="SimHei"/>
          <w:lang w:val="en-GB"/>
        </w:rPr>
      </w:pPr>
      <w:r w:rsidRPr="00DE0653">
        <w:rPr>
          <w:rFonts w:eastAsia="SimHei" w:hint="eastAsia"/>
          <w:bCs/>
          <w:lang w:val="en-GB"/>
        </w:rPr>
        <w:tab/>
      </w:r>
      <w:r w:rsidRPr="00DE0653">
        <w:rPr>
          <w:rFonts w:eastAsia="SimHei"/>
          <w:bCs/>
          <w:lang w:val="en-GB"/>
        </w:rPr>
        <w:t>(b)</w:t>
      </w:r>
      <w:r w:rsidR="00244AF4" w:rsidRPr="00DE0653">
        <w:rPr>
          <w:rFonts w:eastAsia="SimHei"/>
          <w:lang w:val="en-GB"/>
        </w:rPr>
        <w:tab/>
      </w:r>
      <w:r w:rsidR="00244AF4" w:rsidRPr="00DE0653">
        <w:rPr>
          <w:rFonts w:eastAsia="SimHei" w:hint="eastAsia"/>
          <w:lang w:val="en-GB"/>
        </w:rPr>
        <w:t>应以书面形式向组织者传达拟执行限制的理由</w:t>
      </w:r>
      <w:r w:rsidRPr="00DE0653">
        <w:rPr>
          <w:rFonts w:eastAsia="SimHei" w:hint="eastAsia"/>
          <w:lang w:val="en-GB"/>
        </w:rPr>
        <w:t>，</w:t>
      </w:r>
      <w:r w:rsidR="00244AF4" w:rsidRPr="00DE0653">
        <w:rPr>
          <w:rFonts w:eastAsia="SimHei" w:hint="eastAsia"/>
          <w:lang w:val="en-GB"/>
        </w:rPr>
        <w:t>并告知理由</w:t>
      </w:r>
      <w:r w:rsidRPr="00DE0653">
        <w:rPr>
          <w:rFonts w:eastAsia="SimHei" w:hint="eastAsia"/>
          <w:lang w:val="en-GB"/>
        </w:rPr>
        <w:t>，</w:t>
      </w:r>
      <w:r w:rsidR="00244AF4" w:rsidRPr="00DE0653">
        <w:rPr>
          <w:rFonts w:eastAsia="SimHei" w:hint="eastAsia"/>
          <w:lang w:val="en-GB"/>
        </w:rPr>
        <w:t>包括限制的理由</w:t>
      </w:r>
      <w:r w:rsidRPr="00DE0653">
        <w:rPr>
          <w:rFonts w:eastAsia="SimHei" w:hint="eastAsia"/>
          <w:lang w:val="en-GB"/>
        </w:rPr>
        <w:t>，</w:t>
      </w:r>
      <w:r w:rsidR="00244AF4" w:rsidRPr="00DE0653">
        <w:rPr>
          <w:rFonts w:eastAsia="SimHei" w:hint="eastAsia"/>
          <w:lang w:val="en-GB"/>
        </w:rPr>
        <w:t>以便组织者有机会提交材料并就拟执行的限制作出回应</w:t>
      </w:r>
      <w:r w:rsidRPr="00DE0653">
        <w:rPr>
          <w:rFonts w:eastAsia="SimHei" w:hint="eastAsia"/>
          <w:lang w:val="en-GB"/>
        </w:rPr>
        <w:t>；</w:t>
      </w:r>
    </w:p>
    <w:p w:rsidR="00244AF4" w:rsidRPr="00DE0653" w:rsidRDefault="004527D5" w:rsidP="00244AF4">
      <w:pPr>
        <w:pStyle w:val="SingleTxtGC"/>
        <w:rPr>
          <w:rFonts w:eastAsia="SimHei"/>
          <w:lang w:val="en-GB"/>
        </w:rPr>
      </w:pPr>
      <w:r w:rsidRPr="00DE0653">
        <w:rPr>
          <w:rFonts w:eastAsia="SimHei" w:hint="eastAsia"/>
          <w:bCs/>
          <w:lang w:val="en-GB"/>
        </w:rPr>
        <w:tab/>
      </w:r>
      <w:r w:rsidRPr="00DE0653">
        <w:rPr>
          <w:rFonts w:eastAsia="SimHei"/>
          <w:bCs/>
          <w:lang w:val="en-GB"/>
        </w:rPr>
        <w:t>(c)</w:t>
      </w:r>
      <w:r w:rsidR="00244AF4" w:rsidRPr="00DE0653">
        <w:rPr>
          <w:rFonts w:eastAsia="SimHei"/>
          <w:lang w:val="en-GB"/>
        </w:rPr>
        <w:tab/>
      </w:r>
      <w:r w:rsidR="00244AF4" w:rsidRPr="00DE0653">
        <w:rPr>
          <w:rFonts w:eastAsia="SimHei" w:hint="eastAsia"/>
          <w:lang w:val="en-GB"/>
        </w:rPr>
        <w:t>应在法律规定时限内传达拟执行的限制</w:t>
      </w:r>
      <w:r w:rsidRPr="00DE0653">
        <w:rPr>
          <w:rFonts w:eastAsia="SimHei" w:hint="eastAsia"/>
          <w:lang w:val="en-GB"/>
        </w:rPr>
        <w:t>，</w:t>
      </w:r>
      <w:r w:rsidR="00244AF4" w:rsidRPr="00DE0653">
        <w:rPr>
          <w:rFonts w:eastAsia="SimHei" w:hint="eastAsia"/>
          <w:lang w:val="en-GB"/>
        </w:rPr>
        <w:t>以便在拟举行的集会时间前留有足够时间完成申诉或紧急临时救济</w:t>
      </w:r>
      <w:r w:rsidRPr="00DE0653">
        <w:rPr>
          <w:rFonts w:eastAsia="SimHei" w:hint="eastAsia"/>
          <w:lang w:val="en-GB"/>
        </w:rPr>
        <w:t>；</w:t>
      </w:r>
    </w:p>
    <w:p w:rsidR="00244AF4" w:rsidRPr="00DE0653" w:rsidRDefault="004527D5" w:rsidP="00244AF4">
      <w:pPr>
        <w:pStyle w:val="SingleTxtGC"/>
        <w:rPr>
          <w:rFonts w:eastAsia="SimHei"/>
          <w:lang w:val="en-GB"/>
        </w:rPr>
      </w:pPr>
      <w:r w:rsidRPr="00DE0653">
        <w:rPr>
          <w:rFonts w:eastAsia="SimHei" w:hint="eastAsia"/>
          <w:bCs/>
          <w:lang w:val="en-GB"/>
        </w:rPr>
        <w:tab/>
      </w:r>
      <w:r w:rsidRPr="00DE0653">
        <w:rPr>
          <w:rFonts w:eastAsia="SimHei"/>
          <w:bCs/>
          <w:lang w:val="en-GB"/>
        </w:rPr>
        <w:t>(d)</w:t>
      </w:r>
      <w:r w:rsidR="00244AF4" w:rsidRPr="00DE0653">
        <w:rPr>
          <w:rFonts w:eastAsia="SimHei"/>
          <w:lang w:val="en-GB"/>
        </w:rPr>
        <w:tab/>
      </w:r>
      <w:r w:rsidR="00244AF4" w:rsidRPr="00DE0653">
        <w:rPr>
          <w:rFonts w:eastAsia="SimHei" w:hint="eastAsia"/>
          <w:lang w:val="en-GB"/>
        </w:rPr>
        <w:t>法律应当提供使用行政补救办法的机会。然而</w:t>
      </w:r>
      <w:r w:rsidRPr="00DE0653">
        <w:rPr>
          <w:rFonts w:eastAsia="SimHei" w:hint="eastAsia"/>
          <w:lang w:val="en-GB"/>
        </w:rPr>
        <w:t>，</w:t>
      </w:r>
      <w:r w:rsidR="00244AF4" w:rsidRPr="00DE0653">
        <w:rPr>
          <w:rFonts w:eastAsia="SimHei" w:hint="eastAsia"/>
          <w:lang w:val="en-GB"/>
        </w:rPr>
        <w:t>用尽行政补救办法不应成为组织者要求司法审查的先决条件。</w:t>
      </w:r>
    </w:p>
    <w:p w:rsidR="00244AF4" w:rsidRPr="00244AF4" w:rsidRDefault="00244AF4" w:rsidP="004527D5">
      <w:pPr>
        <w:pStyle w:val="H1GC"/>
        <w:rPr>
          <w:lang w:val="en-GB"/>
        </w:rPr>
      </w:pPr>
      <w:bookmarkStart w:id="22" w:name="_Toc309730743"/>
      <w:bookmarkStart w:id="23" w:name="_Toc309730878"/>
      <w:bookmarkStart w:id="24" w:name="_Toc437525373"/>
      <w:bookmarkStart w:id="25" w:name="_Toc437529847"/>
      <w:bookmarkStart w:id="26" w:name="_Toc440290941"/>
      <w:r w:rsidRPr="00244AF4">
        <w:rPr>
          <w:lang w:val="en-GB"/>
        </w:rPr>
        <w:tab/>
      </w:r>
      <w:r w:rsidR="004527D5">
        <w:rPr>
          <w:lang w:val="en-GB"/>
        </w:rPr>
        <w:t>D</w:t>
      </w:r>
      <w:r w:rsidRPr="00244AF4">
        <w:rPr>
          <w:lang w:val="en-GB"/>
        </w:rPr>
        <w:t>.</w:t>
      </w:r>
      <w:r w:rsidRPr="00244AF4">
        <w:rPr>
          <w:lang w:val="en-GB"/>
        </w:rPr>
        <w:tab/>
      </w:r>
      <w:bookmarkEnd w:id="22"/>
      <w:bookmarkEnd w:id="23"/>
      <w:bookmarkEnd w:id="24"/>
      <w:bookmarkEnd w:id="25"/>
      <w:bookmarkEnd w:id="26"/>
      <w:r w:rsidRPr="00244AF4">
        <w:rPr>
          <w:rFonts w:hint="eastAsia"/>
          <w:lang w:val="en-GB"/>
        </w:rPr>
        <w:t>各国应为行使和平集会权提供便利</w:t>
      </w:r>
    </w:p>
    <w:p w:rsidR="00244AF4" w:rsidRPr="00244AF4" w:rsidRDefault="004527D5" w:rsidP="00244AF4">
      <w:pPr>
        <w:pStyle w:val="SingleTxtGC"/>
      </w:pPr>
      <w:bookmarkStart w:id="27" w:name="_Toc309553240"/>
      <w:bookmarkStart w:id="28" w:name="_Toc309730744"/>
      <w:bookmarkStart w:id="29" w:name="_Toc309730879"/>
      <w:bookmarkStart w:id="30" w:name="_Toc437525374"/>
      <w:bookmarkStart w:id="31" w:name="_Toc437529848"/>
      <w:r>
        <w:t>37.</w:t>
      </w:r>
      <w:r w:rsidR="003C70F0">
        <w:t xml:space="preserve">  </w:t>
      </w:r>
      <w:r w:rsidR="00244AF4" w:rsidRPr="00244AF4">
        <w:rPr>
          <w:rFonts w:hint="eastAsia"/>
          <w:lang w:val="en-GB"/>
        </w:rPr>
        <w:t>国家确保权利的积极义务要求主管部门为集会提供便利。国家应为集会进行适当规划</w:t>
      </w:r>
      <w:r>
        <w:rPr>
          <w:rFonts w:hint="eastAsia"/>
          <w:lang w:val="en-GB"/>
        </w:rPr>
        <w:t>，</w:t>
      </w:r>
      <w:r w:rsidR="00244AF4" w:rsidRPr="00244AF4">
        <w:rPr>
          <w:rFonts w:hint="eastAsia"/>
          <w:lang w:val="en-GB"/>
        </w:rPr>
        <w:t>这需要收集和分析信息、预判不同情况和适当的风险评估。透明决策对规划和便利集会进程以及对确保执法部门采取相称和必要的行动极为重要。还必须实施应急计划和预防措施。适当的规划和筹备需要对各项活动进行持续监测</w:t>
      </w:r>
      <w:r>
        <w:rPr>
          <w:rFonts w:hint="eastAsia"/>
          <w:lang w:val="en-GB"/>
        </w:rPr>
        <w:t>，</w:t>
      </w:r>
      <w:r w:rsidR="00244AF4" w:rsidRPr="00244AF4">
        <w:rPr>
          <w:rFonts w:hint="eastAsia"/>
          <w:lang w:val="en-GB"/>
        </w:rPr>
        <w:t>并应当适应不断变化的情况。</w:t>
      </w:r>
    </w:p>
    <w:p w:rsidR="00244AF4" w:rsidRPr="00244AF4" w:rsidRDefault="004527D5" w:rsidP="00244AF4">
      <w:pPr>
        <w:pStyle w:val="SingleTxtGC"/>
      </w:pPr>
      <w:r>
        <w:lastRenderedPageBreak/>
        <w:t>38.</w:t>
      </w:r>
      <w:r w:rsidR="003C70F0">
        <w:t xml:space="preserve">  </w:t>
      </w:r>
      <w:r w:rsidR="00244AF4" w:rsidRPr="00244AF4">
        <w:rPr>
          <w:rFonts w:hint="eastAsia"/>
          <w:lang w:val="en-GB"/>
        </w:rPr>
        <w:t>有关各方的有效沟通与合作也有益于为集会提供适当便利</w:t>
      </w:r>
      <w:r>
        <w:rPr>
          <w:rFonts w:hint="eastAsia"/>
          <w:lang w:val="en-GB"/>
        </w:rPr>
        <w:t>(</w:t>
      </w:r>
      <w:r w:rsidR="00244AF4" w:rsidRPr="00244AF4">
        <w:rPr>
          <w:rFonts w:hint="eastAsia"/>
          <w:lang w:val="en-GB"/>
        </w:rPr>
        <w:t>见</w:t>
      </w:r>
      <w:r>
        <w:rPr>
          <w:rFonts w:hint="eastAsia"/>
          <w:lang w:val="en-GB"/>
        </w:rPr>
        <w:t>A/HRC/17/28,</w:t>
      </w:r>
      <w:r w:rsidR="00244AF4" w:rsidRPr="00244AF4">
        <w:rPr>
          <w:rFonts w:hint="eastAsia"/>
          <w:lang w:val="en-GB"/>
        </w:rPr>
        <w:t>第</w:t>
      </w:r>
      <w:r>
        <w:rPr>
          <w:rFonts w:hint="eastAsia"/>
          <w:lang w:val="en-GB"/>
        </w:rPr>
        <w:t>119</w:t>
      </w:r>
      <w:r w:rsidR="00244AF4" w:rsidRPr="00244AF4">
        <w:rPr>
          <w:rFonts w:hint="eastAsia"/>
          <w:lang w:val="en-GB"/>
        </w:rPr>
        <w:t>段</w:t>
      </w:r>
      <w:r>
        <w:rPr>
          <w:rFonts w:hint="eastAsia"/>
          <w:lang w:val="en-GB"/>
        </w:rPr>
        <w:t>)</w:t>
      </w:r>
      <w:r w:rsidR="00244AF4" w:rsidRPr="00244AF4">
        <w:rPr>
          <w:rFonts w:hint="eastAsia"/>
          <w:lang w:val="en-GB"/>
        </w:rPr>
        <w:t>。主管部门</w:t>
      </w:r>
      <w:r>
        <w:rPr>
          <w:rFonts w:hint="eastAsia"/>
          <w:lang w:val="en-GB"/>
        </w:rPr>
        <w:t>(</w:t>
      </w:r>
      <w:r w:rsidR="00244AF4" w:rsidRPr="00244AF4">
        <w:rPr>
          <w:rFonts w:hint="eastAsia"/>
          <w:lang w:val="en-GB"/>
        </w:rPr>
        <w:t>包括负责接收通知的机构和执法人员</w:t>
      </w:r>
      <w:r>
        <w:rPr>
          <w:rFonts w:hint="eastAsia"/>
          <w:lang w:val="en-GB"/>
        </w:rPr>
        <w:t>)</w:t>
      </w:r>
      <w:r w:rsidR="00244AF4" w:rsidRPr="00244AF4">
        <w:rPr>
          <w:rFonts w:hint="eastAsia"/>
          <w:lang w:val="en-GB"/>
        </w:rPr>
        <w:t>以及</w:t>
      </w:r>
      <w:r>
        <w:rPr>
          <w:rFonts w:hint="eastAsia"/>
          <w:lang w:val="en-GB"/>
        </w:rPr>
        <w:t>，</w:t>
      </w:r>
      <w:r>
        <w:rPr>
          <w:rFonts w:hint="eastAsia"/>
          <w:lang w:val="en-GB"/>
        </w:rPr>
        <w:t>(</w:t>
      </w:r>
      <w:r w:rsidR="00244AF4" w:rsidRPr="00244AF4">
        <w:rPr>
          <w:rFonts w:hint="eastAsia"/>
          <w:lang w:val="en-GB"/>
        </w:rPr>
        <w:t>如可查明</w:t>
      </w:r>
      <w:r>
        <w:rPr>
          <w:rFonts w:hint="eastAsia"/>
          <w:lang w:val="en-GB"/>
        </w:rPr>
        <w:t>)</w:t>
      </w:r>
      <w:r w:rsidR="00244AF4" w:rsidRPr="00244AF4">
        <w:rPr>
          <w:rFonts w:hint="eastAsia"/>
          <w:lang w:val="en-GB"/>
        </w:rPr>
        <w:t>集会组织者之间在集会之前、之中和之后的公开对话将有助于采取保护性和便利性方针</w:t>
      </w:r>
      <w:r>
        <w:rPr>
          <w:rFonts w:hint="eastAsia"/>
          <w:lang w:val="en-GB"/>
        </w:rPr>
        <w:t>，</w:t>
      </w:r>
      <w:r w:rsidR="00244AF4" w:rsidRPr="00244AF4">
        <w:rPr>
          <w:rFonts w:hint="eastAsia"/>
          <w:lang w:val="en-GB"/>
        </w:rPr>
        <w:t>帮助缓和紧张局势并防止局势升级。</w:t>
      </w:r>
      <w:r w:rsidR="00244AF4" w:rsidRPr="006A5AF9">
        <w:rPr>
          <w:color w:val="0000FF"/>
          <w:vertAlign w:val="superscript"/>
          <w:lang w:val="en-GB"/>
        </w:rPr>
        <w:footnoteReference w:id="27"/>
      </w:r>
      <w:r w:rsidR="007330FC">
        <w:rPr>
          <w:rFonts w:hint="eastAsia"/>
          <w:lang w:val="en-GB"/>
        </w:rPr>
        <w:t xml:space="preserve"> </w:t>
      </w:r>
      <w:r w:rsidR="00244AF4" w:rsidRPr="00244AF4">
        <w:rPr>
          <w:rFonts w:hint="eastAsia"/>
          <w:lang w:val="en-GB"/>
        </w:rPr>
        <w:t>执法机构和官员应采取一切合理步骤</w:t>
      </w:r>
      <w:r>
        <w:rPr>
          <w:rFonts w:hint="eastAsia"/>
          <w:lang w:val="en-GB"/>
        </w:rPr>
        <w:t>，</w:t>
      </w:r>
      <w:r w:rsidR="00244AF4" w:rsidRPr="00244AF4">
        <w:rPr>
          <w:rFonts w:hint="eastAsia"/>
          <w:lang w:val="en-GB"/>
        </w:rPr>
        <w:t>就治安行动和安全或安保措施与集会组织者和</w:t>
      </w:r>
      <w:r>
        <w:rPr>
          <w:rFonts w:hint="eastAsia"/>
          <w:lang w:val="en-GB"/>
        </w:rPr>
        <w:t>/</w:t>
      </w:r>
      <w:r w:rsidR="00244AF4" w:rsidRPr="00244AF4">
        <w:rPr>
          <w:rFonts w:hint="eastAsia"/>
          <w:lang w:val="en-GB"/>
        </w:rPr>
        <w:t>或参与者进行沟通。</w:t>
      </w:r>
      <w:r w:rsidR="00244AF4" w:rsidRPr="006A5AF9">
        <w:rPr>
          <w:color w:val="0000FF"/>
          <w:vertAlign w:val="superscript"/>
          <w:lang w:val="en-GB"/>
        </w:rPr>
        <w:footnoteReference w:id="28"/>
      </w:r>
      <w:r w:rsidR="007330FC">
        <w:rPr>
          <w:rFonts w:hint="eastAsia"/>
          <w:lang w:val="en-GB"/>
        </w:rPr>
        <w:t xml:space="preserve"> </w:t>
      </w:r>
      <w:r w:rsidR="00244AF4" w:rsidRPr="00244AF4">
        <w:rPr>
          <w:rFonts w:hint="eastAsia"/>
          <w:lang w:val="en-GB"/>
        </w:rPr>
        <w:t>沟通不限于口头沟通</w:t>
      </w:r>
      <w:r>
        <w:rPr>
          <w:rFonts w:hint="eastAsia"/>
          <w:lang w:val="en-GB"/>
        </w:rPr>
        <w:t>，</w:t>
      </w:r>
      <w:r w:rsidR="00244AF4" w:rsidRPr="00244AF4">
        <w:rPr>
          <w:rFonts w:hint="eastAsia"/>
          <w:lang w:val="en-GB"/>
        </w:rPr>
        <w:t>执法人员必须接受培训</w:t>
      </w:r>
      <w:r>
        <w:rPr>
          <w:rFonts w:hint="eastAsia"/>
          <w:lang w:val="en-GB"/>
        </w:rPr>
        <w:t>，</w:t>
      </w:r>
      <w:r w:rsidR="00244AF4" w:rsidRPr="00244AF4">
        <w:rPr>
          <w:rFonts w:hint="eastAsia"/>
          <w:lang w:val="en-GB"/>
        </w:rPr>
        <w:t>了解任何可能被组织者和参与者视为恐吓的间接沟通手段</w:t>
      </w:r>
      <w:r>
        <w:rPr>
          <w:rFonts w:hint="eastAsia"/>
          <w:lang w:val="en-GB"/>
        </w:rPr>
        <w:t>(</w:t>
      </w:r>
      <w:r w:rsidR="00244AF4" w:rsidRPr="00244AF4">
        <w:rPr>
          <w:rFonts w:hint="eastAsia"/>
          <w:lang w:val="en-GB"/>
        </w:rPr>
        <w:t>例如</w:t>
      </w:r>
      <w:r>
        <w:rPr>
          <w:rFonts w:hint="eastAsia"/>
          <w:lang w:val="en-GB"/>
        </w:rPr>
        <w:t>，</w:t>
      </w:r>
      <w:r w:rsidR="00244AF4" w:rsidRPr="00244AF4">
        <w:rPr>
          <w:rFonts w:hint="eastAsia"/>
          <w:lang w:val="en-GB"/>
        </w:rPr>
        <w:t>设置或使用某些设备以及官员的肢体语言</w:t>
      </w:r>
      <w:r>
        <w:rPr>
          <w:rFonts w:hint="eastAsia"/>
          <w:lang w:val="en-GB"/>
        </w:rPr>
        <w:t>)</w:t>
      </w:r>
      <w:r w:rsidR="00244AF4" w:rsidRPr="00244AF4">
        <w:rPr>
          <w:rFonts w:hint="eastAsia"/>
          <w:lang w:val="en-GB"/>
        </w:rPr>
        <w:t>可能产生的影响。</w:t>
      </w:r>
    </w:p>
    <w:p w:rsidR="00244AF4" w:rsidRPr="00244AF4" w:rsidRDefault="004527D5" w:rsidP="00244AF4">
      <w:pPr>
        <w:pStyle w:val="SingleTxtGC"/>
      </w:pPr>
      <w:r>
        <w:t>39.</w:t>
      </w:r>
      <w:r w:rsidR="003C70F0">
        <w:t xml:space="preserve">  </w:t>
      </w:r>
      <w:r w:rsidR="00244AF4" w:rsidRPr="00244AF4">
        <w:rPr>
          <w:rFonts w:hint="eastAsia"/>
          <w:lang w:val="en-GB"/>
        </w:rPr>
        <w:t>有效沟通取决于信任关系。执法机构应当不断实施战略</w:t>
      </w:r>
      <w:r>
        <w:rPr>
          <w:rFonts w:hint="eastAsia"/>
          <w:lang w:val="en-GB"/>
        </w:rPr>
        <w:t>，</w:t>
      </w:r>
      <w:r w:rsidR="00244AF4" w:rsidRPr="00244AF4">
        <w:rPr>
          <w:rFonts w:hint="eastAsia"/>
          <w:lang w:val="en-GB"/>
        </w:rPr>
        <w:t>与所服务的社区加强信任。执法机构的人员组成应代表整个社区的情况。在集会之前和整个过程中</w:t>
      </w:r>
      <w:r>
        <w:rPr>
          <w:rFonts w:hint="eastAsia"/>
          <w:lang w:val="en-GB"/>
        </w:rPr>
        <w:t>，</w:t>
      </w:r>
      <w:r w:rsidR="00244AF4" w:rsidRPr="00244AF4">
        <w:rPr>
          <w:rFonts w:hint="eastAsia"/>
          <w:lang w:val="en-GB"/>
        </w:rPr>
        <w:t>信息应畅通无阻</w:t>
      </w:r>
      <w:r>
        <w:rPr>
          <w:rFonts w:hint="eastAsia"/>
          <w:lang w:val="en-GB"/>
        </w:rPr>
        <w:t>，</w:t>
      </w:r>
      <w:r w:rsidR="00244AF4" w:rsidRPr="00244AF4">
        <w:rPr>
          <w:rFonts w:hint="eastAsia"/>
          <w:lang w:val="en-GB"/>
        </w:rPr>
        <w:t>应向相关各方通报背景和情况方面的变化。集会组织者和参与者的沟通和对话必须完全自愿</w:t>
      </w:r>
      <w:r>
        <w:rPr>
          <w:rFonts w:hint="eastAsia"/>
          <w:lang w:val="en-GB"/>
        </w:rPr>
        <w:t>，</w:t>
      </w:r>
      <w:r w:rsidR="00244AF4" w:rsidRPr="00244AF4">
        <w:rPr>
          <w:rFonts w:hint="eastAsia"/>
          <w:lang w:val="en-GB"/>
        </w:rPr>
        <w:t>不得正式或非正式地要求组织者承担与当局谈判集会时间、地点和举行方式的义务。这类要求相当于对计划的集会进行限制</w:t>
      </w:r>
      <w:r>
        <w:rPr>
          <w:rFonts w:hint="eastAsia"/>
          <w:lang w:val="en-GB"/>
        </w:rPr>
        <w:t>(</w:t>
      </w:r>
      <w:r w:rsidR="00244AF4" w:rsidRPr="00244AF4">
        <w:rPr>
          <w:rFonts w:hint="eastAsia"/>
          <w:lang w:val="en-GB"/>
        </w:rPr>
        <w:t>见</w:t>
      </w:r>
      <w:r>
        <w:rPr>
          <w:rFonts w:hint="eastAsia"/>
          <w:lang w:val="en-GB"/>
        </w:rPr>
        <w:t xml:space="preserve">A/HRC/23/39, </w:t>
      </w:r>
      <w:r w:rsidR="00244AF4" w:rsidRPr="00244AF4">
        <w:rPr>
          <w:rFonts w:hint="eastAsia"/>
          <w:lang w:val="en-GB"/>
        </w:rPr>
        <w:t>第</w:t>
      </w:r>
      <w:r>
        <w:rPr>
          <w:rFonts w:hint="eastAsia"/>
          <w:lang w:val="en-GB"/>
        </w:rPr>
        <w:t>56</w:t>
      </w:r>
      <w:r w:rsidR="00244AF4" w:rsidRPr="00244AF4">
        <w:rPr>
          <w:rFonts w:hint="eastAsia"/>
          <w:lang w:val="en-GB"/>
        </w:rPr>
        <w:t>段</w:t>
      </w:r>
      <w:r>
        <w:rPr>
          <w:rFonts w:hint="eastAsia"/>
          <w:lang w:val="en-GB"/>
        </w:rPr>
        <w:t>)</w:t>
      </w:r>
      <w:r w:rsidR="00244AF4" w:rsidRPr="00244AF4">
        <w:rPr>
          <w:rFonts w:hint="eastAsia"/>
          <w:lang w:val="en-GB"/>
        </w:rPr>
        <w:t>。</w:t>
      </w:r>
    </w:p>
    <w:p w:rsidR="00244AF4" w:rsidRPr="00244AF4" w:rsidRDefault="004527D5" w:rsidP="00244AF4">
      <w:pPr>
        <w:pStyle w:val="SingleTxtGC"/>
      </w:pPr>
      <w:r>
        <w:t>40.</w:t>
      </w:r>
      <w:r w:rsidR="003C70F0">
        <w:t xml:space="preserve">  </w:t>
      </w:r>
      <w:r w:rsidR="00244AF4" w:rsidRPr="00244AF4">
        <w:rPr>
          <w:rFonts w:hint="eastAsia"/>
          <w:lang w:val="en-GB"/>
        </w:rPr>
        <w:t>国家的便利义务包括提供基本服务的责任</w:t>
      </w:r>
      <w:r>
        <w:rPr>
          <w:rFonts w:hint="eastAsia"/>
          <w:lang w:val="en-GB"/>
        </w:rPr>
        <w:t>，</w:t>
      </w:r>
      <w:r w:rsidR="00244AF4" w:rsidRPr="00244AF4">
        <w:rPr>
          <w:rFonts w:hint="eastAsia"/>
          <w:lang w:val="en-GB"/>
        </w:rPr>
        <w:t>包括交通管理、医疗援助</w:t>
      </w:r>
      <w:r w:rsidR="00244AF4" w:rsidRPr="006A5AF9">
        <w:rPr>
          <w:color w:val="0000FF"/>
          <w:vertAlign w:val="superscript"/>
          <w:lang w:val="en-GB"/>
        </w:rPr>
        <w:footnoteReference w:id="29"/>
      </w:r>
      <w:r w:rsidR="007330FC">
        <w:rPr>
          <w:rFonts w:hint="eastAsia"/>
          <w:lang w:val="en-GB"/>
        </w:rPr>
        <w:t xml:space="preserve"> </w:t>
      </w:r>
      <w:r w:rsidR="00244AF4" w:rsidRPr="00244AF4">
        <w:rPr>
          <w:rFonts w:hint="eastAsia"/>
          <w:lang w:val="en-GB"/>
        </w:rPr>
        <w:t>和清理服务。</w:t>
      </w:r>
      <w:r w:rsidR="00244AF4" w:rsidRPr="006A5AF9">
        <w:rPr>
          <w:color w:val="0000FF"/>
          <w:vertAlign w:val="superscript"/>
          <w:lang w:val="en-GB"/>
        </w:rPr>
        <w:footnoteReference w:id="30"/>
      </w:r>
      <w:r>
        <w:rPr>
          <w:rFonts w:hint="eastAsia"/>
          <w:lang w:val="en-GB"/>
        </w:rPr>
        <w:t xml:space="preserve"> </w:t>
      </w:r>
      <w:r w:rsidR="00244AF4" w:rsidRPr="00244AF4">
        <w:rPr>
          <w:rFonts w:hint="eastAsia"/>
          <w:lang w:val="en-GB"/>
        </w:rPr>
        <w:t>不应要求组织者负责提供此类服务</w:t>
      </w:r>
      <w:r>
        <w:rPr>
          <w:rFonts w:hint="eastAsia"/>
          <w:lang w:val="en-GB"/>
        </w:rPr>
        <w:t>，</w:t>
      </w:r>
      <w:r w:rsidR="00244AF4" w:rsidRPr="00244AF4">
        <w:rPr>
          <w:rFonts w:hint="eastAsia"/>
          <w:lang w:val="en-GB"/>
        </w:rPr>
        <w:t>也不应要求他们为此类服务交纳费用。</w:t>
      </w:r>
    </w:p>
    <w:p w:rsidR="00244AF4" w:rsidRPr="00244AF4" w:rsidRDefault="004527D5" w:rsidP="00244AF4">
      <w:pPr>
        <w:pStyle w:val="SingleTxtGC"/>
      </w:pPr>
      <w:r>
        <w:t>41.</w:t>
      </w:r>
      <w:r w:rsidR="003C70F0">
        <w:t xml:space="preserve">  </w:t>
      </w:r>
      <w:r w:rsidR="00244AF4" w:rsidRPr="00244AF4">
        <w:rPr>
          <w:rFonts w:hint="eastAsia"/>
          <w:lang w:val="en-GB"/>
        </w:rPr>
        <w:t>除提供便利的义务外</w:t>
      </w:r>
      <w:r>
        <w:rPr>
          <w:rFonts w:hint="eastAsia"/>
          <w:lang w:val="en-GB"/>
        </w:rPr>
        <w:t>，</w:t>
      </w:r>
      <w:r w:rsidR="00244AF4" w:rsidRPr="00244AF4">
        <w:rPr>
          <w:rFonts w:hint="eastAsia"/>
          <w:lang w:val="en-GB"/>
        </w:rPr>
        <w:t>执法的首要职能是保护集会参与者及监测者和旁观者的安全和权利。</w:t>
      </w:r>
    </w:p>
    <w:p w:rsidR="00244AF4" w:rsidRPr="00244AF4" w:rsidRDefault="004527D5" w:rsidP="00244AF4">
      <w:pPr>
        <w:pStyle w:val="SingleTxtGC"/>
      </w:pPr>
      <w:r>
        <w:t>42.</w:t>
      </w:r>
      <w:r w:rsidR="003C70F0">
        <w:t xml:space="preserve">  </w:t>
      </w:r>
      <w:r w:rsidR="00244AF4" w:rsidRPr="00244AF4">
        <w:rPr>
          <w:rFonts w:hint="eastAsia"/>
          <w:lang w:val="en-GB"/>
        </w:rPr>
        <w:t>必须对执法人员进行关于为集会提供便利的适当培训。该培训应包括正确了解关于集会的法律框架、便利和管理人群的技巧、集会背景下的人权以及集会在民主秩序中发挥的重要作用。培训必须包括软技能</w:t>
      </w:r>
      <w:r>
        <w:rPr>
          <w:rFonts w:hint="eastAsia"/>
          <w:lang w:val="en-GB"/>
        </w:rPr>
        <w:t>，</w:t>
      </w:r>
      <w:r w:rsidR="00244AF4" w:rsidRPr="00244AF4">
        <w:rPr>
          <w:rFonts w:hint="eastAsia"/>
          <w:lang w:val="en-GB"/>
        </w:rPr>
        <w:t>例如使得执法人员能够避免暴力升级并减少冲突的有效沟通、谈判和调解。</w:t>
      </w:r>
      <w:r w:rsidR="00244AF4" w:rsidRPr="006A5AF9">
        <w:rPr>
          <w:color w:val="0000FF"/>
          <w:vertAlign w:val="superscript"/>
          <w:lang w:val="en-GB"/>
        </w:rPr>
        <w:footnoteReference w:id="31"/>
      </w:r>
    </w:p>
    <w:p w:rsidR="00244AF4" w:rsidRPr="00244AF4" w:rsidRDefault="004527D5" w:rsidP="00244AF4">
      <w:pPr>
        <w:pStyle w:val="SingleTxtGC"/>
      </w:pPr>
      <w:r>
        <w:t>43.</w:t>
      </w:r>
      <w:r w:rsidR="003C70F0">
        <w:t xml:space="preserve">  </w:t>
      </w:r>
      <w:r w:rsidR="00244AF4" w:rsidRPr="00244AF4">
        <w:rPr>
          <w:rFonts w:hint="eastAsia"/>
          <w:lang w:val="en-GB"/>
        </w:rPr>
        <w:t>执法人员对组织或参与集会的个人使用拦截和搜查手段可能会影响自由权和人身安全以及隐私权。拦截和搜查不得任意实施</w:t>
      </w:r>
      <w:r>
        <w:rPr>
          <w:rFonts w:hint="eastAsia"/>
          <w:lang w:val="en-GB"/>
        </w:rPr>
        <w:t>，</w:t>
      </w:r>
      <w:r w:rsidR="00244AF4" w:rsidRPr="00244AF4">
        <w:rPr>
          <w:rFonts w:hint="eastAsia"/>
          <w:lang w:val="en-GB"/>
        </w:rPr>
        <w:t>也不得违反不歧视原则。必须得到法律批准</w:t>
      </w:r>
      <w:r>
        <w:rPr>
          <w:rFonts w:hint="eastAsia"/>
          <w:lang w:val="en-GB"/>
        </w:rPr>
        <w:t>，</w:t>
      </w:r>
      <w:r w:rsidR="00244AF4" w:rsidRPr="00244AF4">
        <w:rPr>
          <w:rFonts w:hint="eastAsia"/>
          <w:lang w:val="en-GB"/>
        </w:rPr>
        <w:t>并且是必要和相称的。</w:t>
      </w:r>
      <w:r w:rsidR="00244AF4" w:rsidRPr="006A5AF9">
        <w:rPr>
          <w:color w:val="0000FF"/>
          <w:vertAlign w:val="superscript"/>
          <w:lang w:val="en-GB"/>
        </w:rPr>
        <w:footnoteReference w:id="32"/>
      </w:r>
      <w:r w:rsidR="007330FC">
        <w:rPr>
          <w:rFonts w:hint="eastAsia"/>
          <w:lang w:val="en-GB"/>
        </w:rPr>
        <w:t xml:space="preserve"> </w:t>
      </w:r>
      <w:r w:rsidR="00244AF4" w:rsidRPr="00244AF4">
        <w:rPr>
          <w:rFonts w:hint="eastAsia"/>
          <w:lang w:val="en-GB"/>
        </w:rPr>
        <w:t>仅凭某人参与和平集会的事实</w:t>
      </w:r>
      <w:r>
        <w:rPr>
          <w:rFonts w:hint="eastAsia"/>
          <w:lang w:val="en-GB"/>
        </w:rPr>
        <w:t>，</w:t>
      </w:r>
      <w:r w:rsidR="00244AF4" w:rsidRPr="00244AF4">
        <w:rPr>
          <w:rFonts w:hint="eastAsia"/>
          <w:lang w:val="en-GB"/>
        </w:rPr>
        <w:t>不能构成实施搜查的合理理由。</w:t>
      </w:r>
    </w:p>
    <w:p w:rsidR="00244AF4" w:rsidRPr="00244AF4" w:rsidRDefault="004527D5" w:rsidP="00244AF4">
      <w:pPr>
        <w:pStyle w:val="SingleTxtGC"/>
      </w:pPr>
      <w:r>
        <w:lastRenderedPageBreak/>
        <w:t>44.</w:t>
      </w:r>
      <w:r w:rsidR="003C70F0">
        <w:t xml:space="preserve">  </w:t>
      </w:r>
      <w:r w:rsidR="00244AF4" w:rsidRPr="00244AF4">
        <w:rPr>
          <w:rFonts w:hint="eastAsia"/>
          <w:lang w:val="en-GB"/>
        </w:rPr>
        <w:t>逮捕权可在集会中发挥重要的保护职能</w:t>
      </w:r>
      <w:r>
        <w:rPr>
          <w:rFonts w:hint="eastAsia"/>
          <w:lang w:val="en-GB"/>
        </w:rPr>
        <w:t>，</w:t>
      </w:r>
      <w:r w:rsidR="00244AF4" w:rsidRPr="00244AF4">
        <w:rPr>
          <w:rFonts w:hint="eastAsia"/>
          <w:lang w:val="en-GB"/>
        </w:rPr>
        <w:t>使执法部门能够将实施暴力行为的个人带离集会。</w:t>
      </w:r>
      <w:r>
        <w:rPr>
          <w:rFonts w:hint="eastAsia"/>
          <w:lang w:val="en-GB"/>
        </w:rPr>
        <w:t>“</w:t>
      </w:r>
      <w:r w:rsidR="00244AF4" w:rsidRPr="00244AF4">
        <w:rPr>
          <w:rFonts w:hint="eastAsia"/>
          <w:lang w:val="en-GB"/>
        </w:rPr>
        <w:t>逮捕</w:t>
      </w:r>
      <w:r>
        <w:rPr>
          <w:rFonts w:hint="eastAsia"/>
          <w:lang w:val="en-GB"/>
        </w:rPr>
        <w:t>”</w:t>
      </w:r>
      <w:r w:rsidR="00244AF4" w:rsidRPr="00244AF4">
        <w:rPr>
          <w:rFonts w:hint="eastAsia"/>
          <w:lang w:val="en-GB"/>
        </w:rPr>
        <w:t>一词系指任何剥夺自由的做法</w:t>
      </w:r>
      <w:r>
        <w:rPr>
          <w:rFonts w:hint="eastAsia"/>
          <w:lang w:val="en-GB"/>
        </w:rPr>
        <w:t>，</w:t>
      </w:r>
      <w:r w:rsidR="00244AF4" w:rsidRPr="00244AF4">
        <w:rPr>
          <w:rFonts w:hint="eastAsia"/>
          <w:lang w:val="en-GB"/>
        </w:rPr>
        <w:t>并不限于根据国内法律实施的正式逮捕。至关重要的是</w:t>
      </w:r>
      <w:r>
        <w:rPr>
          <w:rFonts w:hint="eastAsia"/>
          <w:lang w:val="en-GB"/>
        </w:rPr>
        <w:t>，</w:t>
      </w:r>
      <w:r w:rsidR="00244AF4" w:rsidRPr="00244AF4">
        <w:rPr>
          <w:rFonts w:hint="eastAsia"/>
          <w:lang w:val="en-GB"/>
        </w:rPr>
        <w:t>行使逮捕权要符合国际人权标准</w:t>
      </w:r>
      <w:r>
        <w:rPr>
          <w:rFonts w:hint="eastAsia"/>
          <w:lang w:val="en-GB"/>
        </w:rPr>
        <w:t>，</w:t>
      </w:r>
      <w:r w:rsidR="00244AF4" w:rsidRPr="00244AF4">
        <w:rPr>
          <w:rFonts w:hint="eastAsia"/>
          <w:lang w:val="en-GB"/>
        </w:rPr>
        <w:t>包括与隐私权、自由权和正当程序权有关的标准。</w:t>
      </w:r>
    </w:p>
    <w:p w:rsidR="00244AF4" w:rsidRPr="00244AF4" w:rsidRDefault="004527D5" w:rsidP="00244AF4">
      <w:pPr>
        <w:pStyle w:val="SingleTxtGC"/>
      </w:pPr>
      <w:r>
        <w:t>45.</w:t>
      </w:r>
      <w:r w:rsidR="003C70F0">
        <w:t xml:space="preserve">  </w:t>
      </w:r>
      <w:r w:rsidR="00244AF4" w:rsidRPr="00244AF4">
        <w:rPr>
          <w:rFonts w:hint="eastAsia"/>
          <w:lang w:val="en-GB"/>
        </w:rPr>
        <w:t>不得对任何人进行任意逮捕或拘禁。在集会背景下</w:t>
      </w:r>
      <w:r>
        <w:rPr>
          <w:rFonts w:hint="eastAsia"/>
          <w:lang w:val="en-GB"/>
        </w:rPr>
        <w:t>，</w:t>
      </w:r>
      <w:r w:rsidR="00244AF4" w:rsidRPr="00244AF4">
        <w:rPr>
          <w:rFonts w:hint="eastAsia"/>
          <w:lang w:val="en-GB"/>
        </w:rPr>
        <w:t>这特别意味着对集会和异议定罪。例如</w:t>
      </w:r>
      <w:r>
        <w:rPr>
          <w:rFonts w:hint="eastAsia"/>
          <w:lang w:val="en-GB"/>
        </w:rPr>
        <w:t>，</w:t>
      </w:r>
      <w:r w:rsidR="00244AF4" w:rsidRPr="00244AF4">
        <w:rPr>
          <w:rFonts w:hint="eastAsia"/>
          <w:lang w:val="en-GB"/>
        </w:rPr>
        <w:t>以虚假、不合理或不相称的罪名逮捕抗议者</w:t>
      </w:r>
      <w:r>
        <w:rPr>
          <w:rFonts w:hint="eastAsia"/>
          <w:lang w:val="en-GB"/>
        </w:rPr>
        <w:t>，</w:t>
      </w:r>
      <w:r w:rsidR="00244AF4" w:rsidRPr="00244AF4">
        <w:rPr>
          <w:rFonts w:hint="eastAsia"/>
          <w:lang w:val="en-GB"/>
        </w:rPr>
        <w:t>防止或惩罚其行使和平集会自由权</w:t>
      </w:r>
      <w:r>
        <w:rPr>
          <w:rFonts w:hint="eastAsia"/>
          <w:lang w:val="en-GB"/>
        </w:rPr>
        <w:t>，</w:t>
      </w:r>
      <w:r w:rsidR="00244AF4" w:rsidRPr="00244AF4">
        <w:rPr>
          <w:rFonts w:hint="eastAsia"/>
          <w:lang w:val="en-GB"/>
        </w:rPr>
        <w:t>可能会违反这些保护原则。同样</w:t>
      </w:r>
      <w:r>
        <w:rPr>
          <w:rFonts w:hint="eastAsia"/>
          <w:lang w:val="en-GB"/>
        </w:rPr>
        <w:t>，</w:t>
      </w:r>
      <w:r w:rsidR="00244AF4" w:rsidRPr="00244AF4">
        <w:rPr>
          <w:rFonts w:hint="eastAsia"/>
          <w:lang w:val="en-GB"/>
        </w:rPr>
        <w:t>除非当时确实存在明确的迫在眉睫的暴力危险</w:t>
      </w:r>
      <w:r>
        <w:rPr>
          <w:rFonts w:hint="eastAsia"/>
          <w:lang w:val="en-GB"/>
        </w:rPr>
        <w:t>，</w:t>
      </w:r>
      <w:r w:rsidR="00244AF4" w:rsidRPr="00244AF4">
        <w:rPr>
          <w:rFonts w:hint="eastAsia"/>
          <w:lang w:val="en-GB"/>
        </w:rPr>
        <w:t>否则不应使用侵犯性的先发制人措施。</w:t>
      </w:r>
      <w:r>
        <w:rPr>
          <w:rFonts w:hint="eastAsia"/>
          <w:lang w:val="en-GB"/>
        </w:rPr>
        <w:t>“</w:t>
      </w:r>
      <w:r w:rsidR="00244AF4" w:rsidRPr="00244AF4">
        <w:rPr>
          <w:rFonts w:hint="eastAsia"/>
          <w:lang w:val="en-GB"/>
        </w:rPr>
        <w:t>大规模逮捕</w:t>
      </w:r>
      <w:r>
        <w:rPr>
          <w:rFonts w:hint="eastAsia"/>
          <w:lang w:val="en-GB"/>
        </w:rPr>
        <w:t>”</w:t>
      </w:r>
      <w:r w:rsidR="00244AF4" w:rsidRPr="00244AF4">
        <w:rPr>
          <w:rFonts w:hint="eastAsia"/>
          <w:lang w:val="en-GB"/>
        </w:rPr>
        <w:t>集会参与者往往相当于不分青红皂白的任意逮捕。</w:t>
      </w:r>
    </w:p>
    <w:p w:rsidR="00244AF4" w:rsidRPr="00244AF4" w:rsidRDefault="004527D5" w:rsidP="00244AF4">
      <w:pPr>
        <w:pStyle w:val="SingleTxtGC"/>
      </w:pPr>
      <w:r>
        <w:t>46.</w:t>
      </w:r>
      <w:r w:rsidR="003C70F0">
        <w:t xml:space="preserve">  </w:t>
      </w:r>
      <w:r w:rsidR="00244AF4" w:rsidRPr="00244AF4">
        <w:rPr>
          <w:rFonts w:hint="eastAsia"/>
          <w:lang w:val="en-GB"/>
        </w:rPr>
        <w:t>如果发生逮捕</w:t>
      </w:r>
      <w:r>
        <w:rPr>
          <w:rFonts w:hint="eastAsia"/>
          <w:lang w:val="en-GB"/>
        </w:rPr>
        <w:t>，</w:t>
      </w:r>
      <w:r w:rsidR="00244AF4" w:rsidRPr="00244AF4">
        <w:rPr>
          <w:rFonts w:hint="eastAsia"/>
          <w:lang w:val="en-GB"/>
        </w:rPr>
        <w:t>拘留条件必须符合最低标准。这适用于个人被剥夺自由的任何地点或情况</w:t>
      </w:r>
      <w:r>
        <w:rPr>
          <w:rFonts w:hint="eastAsia"/>
          <w:lang w:val="en-GB"/>
        </w:rPr>
        <w:t>，</w:t>
      </w:r>
      <w:r w:rsidR="00244AF4" w:rsidRPr="00244AF4">
        <w:rPr>
          <w:rFonts w:hint="eastAsia"/>
          <w:lang w:val="en-GB"/>
        </w:rPr>
        <w:t>包括监狱、拘留所、公共场所和用于转移被拘留者的车辆以及</w:t>
      </w:r>
      <w:r w:rsidR="00244AF4" w:rsidRPr="007330FC">
        <w:rPr>
          <w:rFonts w:hint="eastAsia"/>
          <w:spacing w:val="-4"/>
          <w:lang w:val="en-GB"/>
        </w:rPr>
        <w:t>关押被拘留者的任何其他地点。必须给予被拘留者人道待遇并尊重他们的尊严</w:t>
      </w:r>
      <w:r w:rsidRPr="007330FC">
        <w:rPr>
          <w:rFonts w:hint="eastAsia"/>
          <w:spacing w:val="-4"/>
          <w:lang w:val="en-GB"/>
        </w:rPr>
        <w:t>，</w:t>
      </w:r>
      <w:r w:rsidR="00244AF4" w:rsidRPr="007330FC">
        <w:rPr>
          <w:color w:val="0000FF"/>
          <w:spacing w:val="-4"/>
          <w:vertAlign w:val="superscript"/>
          <w:lang w:val="en-GB"/>
        </w:rPr>
        <w:footnoteReference w:id="33"/>
      </w:r>
      <w:r w:rsidR="007330FC">
        <w:rPr>
          <w:rFonts w:hint="eastAsia"/>
          <w:lang w:val="en-GB"/>
        </w:rPr>
        <w:t xml:space="preserve"> </w:t>
      </w:r>
      <w:r w:rsidR="00244AF4" w:rsidRPr="00244AF4">
        <w:rPr>
          <w:rFonts w:hint="eastAsia"/>
          <w:lang w:val="en-GB"/>
        </w:rPr>
        <w:t>并且他们不应遭受酷刑或残忍、不人道或有辱人格的待遇或处罚。</w:t>
      </w:r>
    </w:p>
    <w:p w:rsidR="00244AF4" w:rsidRPr="00244AF4" w:rsidRDefault="004527D5" w:rsidP="00244AF4">
      <w:pPr>
        <w:pStyle w:val="SingleTxtGC"/>
      </w:pPr>
      <w:r>
        <w:t>47.</w:t>
      </w:r>
      <w:r w:rsidR="003C70F0">
        <w:t xml:space="preserve">  </w:t>
      </w:r>
      <w:r w:rsidR="00244AF4" w:rsidRPr="00244AF4">
        <w:rPr>
          <w:rFonts w:hint="eastAsia"/>
          <w:lang w:val="en-GB"/>
        </w:rPr>
        <w:t>实施行政拘留尤其令人不安。人权事务委员会强调指出</w:t>
      </w:r>
      <w:r>
        <w:rPr>
          <w:rFonts w:hint="eastAsia"/>
          <w:lang w:val="en-GB"/>
        </w:rPr>
        <w:t>，</w:t>
      </w:r>
      <w:r w:rsidR="00244AF4" w:rsidRPr="00244AF4">
        <w:rPr>
          <w:rFonts w:hint="eastAsia"/>
          <w:lang w:val="en-GB"/>
        </w:rPr>
        <w:t>不为进行刑事诉讼而实行这种拘留有成为任意剥夺自由的严重危险。</w:t>
      </w:r>
      <w:r w:rsidR="00244AF4" w:rsidRPr="006A5AF9">
        <w:rPr>
          <w:color w:val="0000FF"/>
          <w:vertAlign w:val="superscript"/>
          <w:lang w:val="en-GB"/>
        </w:rPr>
        <w:footnoteReference w:id="34"/>
      </w:r>
    </w:p>
    <w:p w:rsidR="00244AF4" w:rsidRPr="00244AF4" w:rsidRDefault="004527D5" w:rsidP="00244AF4">
      <w:pPr>
        <w:pStyle w:val="SingleTxtGC"/>
      </w:pPr>
      <w:r>
        <w:t>48.</w:t>
      </w:r>
      <w:r w:rsidR="003C70F0">
        <w:t xml:space="preserve">  </w:t>
      </w:r>
      <w:r w:rsidR="00244AF4" w:rsidRPr="00244AF4">
        <w:rPr>
          <w:rFonts w:hint="eastAsia"/>
          <w:lang w:val="en-GB"/>
        </w:rPr>
        <w:t>相称性问题与集会情形下的行政制裁尤为相关。任何惩罚不应过度</w:t>
      </w:r>
      <w:r>
        <w:rPr>
          <w:rFonts w:hint="eastAsia"/>
          <w:lang w:val="en-GB"/>
        </w:rPr>
        <w:t>，</w:t>
      </w:r>
      <w:r w:rsidR="00244AF4" w:rsidRPr="00244AF4">
        <w:rPr>
          <w:rFonts w:hint="eastAsia"/>
          <w:lang w:val="en-GB"/>
        </w:rPr>
        <w:t>例如</w:t>
      </w:r>
      <w:r>
        <w:rPr>
          <w:rFonts w:hint="eastAsia"/>
          <w:lang w:val="en-GB"/>
        </w:rPr>
        <w:t>，</w:t>
      </w:r>
      <w:r w:rsidR="00244AF4" w:rsidRPr="00244AF4">
        <w:rPr>
          <w:rFonts w:hint="eastAsia"/>
          <w:lang w:val="en-GB"/>
        </w:rPr>
        <w:t>过高罚款金额。这种惩罚引发对正当程序的关切</w:t>
      </w:r>
      <w:r>
        <w:rPr>
          <w:rFonts w:hint="eastAsia"/>
          <w:lang w:val="en-GB"/>
        </w:rPr>
        <w:t>，</w:t>
      </w:r>
      <w:r w:rsidR="00244AF4" w:rsidRPr="00244AF4">
        <w:rPr>
          <w:rFonts w:hint="eastAsia"/>
          <w:lang w:val="en-GB"/>
        </w:rPr>
        <w:t>并可能对行使和平集会自由的权利产生大范围的寒蝉效应。</w:t>
      </w:r>
    </w:p>
    <w:p w:rsidR="00244AF4" w:rsidRPr="00DE0653" w:rsidRDefault="004527D5" w:rsidP="00244AF4">
      <w:pPr>
        <w:pStyle w:val="SingleTxtGC"/>
        <w:rPr>
          <w:rFonts w:eastAsia="SimHei"/>
        </w:rPr>
      </w:pPr>
      <w:r w:rsidRPr="00DE0653">
        <w:rPr>
          <w:rFonts w:eastAsia="SimHei"/>
        </w:rPr>
        <w:t>49.</w:t>
      </w:r>
      <w:r w:rsidR="003C70F0" w:rsidRPr="00DE0653">
        <w:rPr>
          <w:rFonts w:eastAsia="SimHei"/>
        </w:rPr>
        <w:t xml:space="preserve">  </w:t>
      </w:r>
      <w:r w:rsidR="00244AF4" w:rsidRPr="00DE0653">
        <w:rPr>
          <w:rFonts w:eastAsia="SimHei"/>
          <w:bCs/>
          <w:lang w:val="en-GB"/>
        </w:rPr>
        <w:t>实用建议</w:t>
      </w:r>
      <w:r w:rsidRPr="00DE0653">
        <w:rPr>
          <w:rFonts w:eastAsia="SimHei"/>
          <w:bCs/>
          <w:lang w:val="en-GB"/>
        </w:rPr>
        <w:t>：</w:t>
      </w:r>
    </w:p>
    <w:p w:rsidR="00244AF4" w:rsidRPr="00DE0653" w:rsidRDefault="00244AF4" w:rsidP="00244AF4">
      <w:pPr>
        <w:pStyle w:val="SingleTxtGC"/>
        <w:rPr>
          <w:rFonts w:eastAsia="SimHei"/>
          <w:bCs/>
        </w:rPr>
      </w:pPr>
      <w:r w:rsidRPr="00DE0653">
        <w:rPr>
          <w:rFonts w:eastAsia="SimHei"/>
          <w:lang w:val="en-GB"/>
        </w:rPr>
        <w:tab/>
      </w:r>
      <w:r w:rsidR="004527D5" w:rsidRPr="00DE0653">
        <w:rPr>
          <w:rFonts w:eastAsia="SimHei"/>
          <w:lang w:val="en-GB"/>
        </w:rPr>
        <w:t>(a)</w:t>
      </w:r>
      <w:r w:rsidRPr="00DE0653">
        <w:rPr>
          <w:rFonts w:eastAsia="SimHei"/>
          <w:lang w:val="en-GB"/>
        </w:rPr>
        <w:tab/>
      </w:r>
      <w:r w:rsidRPr="00DE0653">
        <w:rPr>
          <w:rFonts w:eastAsia="SimHei" w:hint="eastAsia"/>
          <w:bCs/>
          <w:lang w:val="en-GB"/>
        </w:rPr>
        <w:t>各国应促进执法人员多元化</w:t>
      </w:r>
      <w:r w:rsidR="004527D5" w:rsidRPr="00DE0653">
        <w:rPr>
          <w:rFonts w:eastAsia="SimHei" w:hint="eastAsia"/>
          <w:bCs/>
          <w:lang w:val="en-GB"/>
        </w:rPr>
        <w:t>，</w:t>
      </w:r>
      <w:r w:rsidRPr="00DE0653">
        <w:rPr>
          <w:rFonts w:eastAsia="SimHei" w:hint="eastAsia"/>
          <w:bCs/>
          <w:lang w:val="en-GB"/>
        </w:rPr>
        <w:t>以便社区中有人担任警察。这需要一个具有充分代表性的机构</w:t>
      </w:r>
      <w:r w:rsidR="004527D5" w:rsidRPr="00DE0653">
        <w:rPr>
          <w:rFonts w:eastAsia="SimHei" w:hint="eastAsia"/>
          <w:bCs/>
          <w:lang w:val="en-GB"/>
        </w:rPr>
        <w:t>，</w:t>
      </w:r>
      <w:r w:rsidRPr="00DE0653">
        <w:rPr>
          <w:rFonts w:eastAsia="SimHei" w:hint="eastAsia"/>
          <w:bCs/>
          <w:lang w:val="en-GB"/>
        </w:rPr>
        <w:t>纳入妇女和少数群体。</w:t>
      </w:r>
    </w:p>
    <w:p w:rsidR="00244AF4" w:rsidRPr="00DE0653" w:rsidRDefault="00244AF4" w:rsidP="00244AF4">
      <w:pPr>
        <w:pStyle w:val="SingleTxtGC"/>
        <w:rPr>
          <w:rFonts w:eastAsia="SimHei"/>
          <w:bCs/>
        </w:rPr>
      </w:pPr>
      <w:r w:rsidRPr="00DE0653">
        <w:rPr>
          <w:rFonts w:eastAsia="SimHei"/>
          <w:lang w:val="en-GB"/>
        </w:rPr>
        <w:tab/>
      </w:r>
      <w:r w:rsidR="004527D5" w:rsidRPr="00DE0653">
        <w:rPr>
          <w:rFonts w:eastAsia="SimHei"/>
          <w:lang w:val="en-GB"/>
        </w:rPr>
        <w:t>(b)</w:t>
      </w:r>
      <w:r w:rsidRPr="00DE0653">
        <w:rPr>
          <w:rFonts w:eastAsia="SimHei"/>
          <w:lang w:val="en-GB"/>
        </w:rPr>
        <w:tab/>
      </w:r>
      <w:r w:rsidRPr="00DE0653">
        <w:rPr>
          <w:rFonts w:eastAsia="SimHei" w:hint="eastAsia"/>
          <w:bCs/>
          <w:lang w:val="en-GB"/>
        </w:rPr>
        <w:t>各国应对所有集会采取一致的规划举措</w:t>
      </w:r>
      <w:r w:rsidR="004527D5" w:rsidRPr="00DE0653">
        <w:rPr>
          <w:rFonts w:eastAsia="SimHei" w:hint="eastAsia"/>
          <w:bCs/>
          <w:lang w:val="en-GB"/>
        </w:rPr>
        <w:t>，</w:t>
      </w:r>
      <w:r w:rsidRPr="00DE0653">
        <w:rPr>
          <w:rFonts w:eastAsia="SimHei" w:hint="eastAsia"/>
          <w:bCs/>
          <w:lang w:val="en-GB"/>
        </w:rPr>
        <w:t>遵循以威胁和风险评估为依据的模式</w:t>
      </w:r>
      <w:r w:rsidR="004527D5" w:rsidRPr="00DE0653">
        <w:rPr>
          <w:rFonts w:eastAsia="SimHei" w:hint="eastAsia"/>
          <w:bCs/>
          <w:lang w:val="en-GB"/>
        </w:rPr>
        <w:t>，</w:t>
      </w:r>
      <w:r w:rsidRPr="00DE0653">
        <w:rPr>
          <w:rFonts w:eastAsia="SimHei" w:hint="eastAsia"/>
          <w:bCs/>
          <w:lang w:val="en-GB"/>
        </w:rPr>
        <w:t>并纳入人权法律和标准以及道德观念</w:t>
      </w:r>
      <w:r w:rsidR="004527D5" w:rsidRPr="00DE0653">
        <w:rPr>
          <w:rFonts w:eastAsia="SimHei" w:hint="eastAsia"/>
          <w:bCs/>
          <w:lang w:val="en-GB"/>
        </w:rPr>
        <w:t>；</w:t>
      </w:r>
    </w:p>
    <w:p w:rsidR="00244AF4" w:rsidRPr="00DE0653" w:rsidRDefault="00244AF4" w:rsidP="00244AF4">
      <w:pPr>
        <w:pStyle w:val="SingleTxtGC"/>
        <w:rPr>
          <w:rFonts w:eastAsia="SimHei"/>
          <w:bCs/>
        </w:rPr>
      </w:pPr>
      <w:r w:rsidRPr="00DE0653">
        <w:rPr>
          <w:rFonts w:eastAsia="SimHei"/>
          <w:lang w:val="en-GB"/>
        </w:rPr>
        <w:tab/>
      </w:r>
      <w:r w:rsidR="004527D5" w:rsidRPr="00DE0653">
        <w:rPr>
          <w:rFonts w:eastAsia="SimHei"/>
          <w:lang w:val="en-GB"/>
        </w:rPr>
        <w:t>(c)</w:t>
      </w:r>
      <w:r w:rsidRPr="00DE0653">
        <w:rPr>
          <w:rFonts w:eastAsia="SimHei"/>
          <w:lang w:val="en-GB"/>
        </w:rPr>
        <w:tab/>
      </w:r>
      <w:r w:rsidRPr="00DE0653">
        <w:rPr>
          <w:rFonts w:eastAsia="SimHei" w:hint="eastAsia"/>
          <w:bCs/>
          <w:lang w:val="en-GB"/>
        </w:rPr>
        <w:t>公共机构</w:t>
      </w:r>
      <w:r w:rsidR="004527D5" w:rsidRPr="00DE0653">
        <w:rPr>
          <w:rFonts w:eastAsia="SimHei" w:hint="eastAsia"/>
          <w:bCs/>
          <w:lang w:val="en-GB"/>
        </w:rPr>
        <w:t>，</w:t>
      </w:r>
      <w:r w:rsidRPr="00DE0653">
        <w:rPr>
          <w:rFonts w:eastAsia="SimHei" w:hint="eastAsia"/>
          <w:bCs/>
          <w:lang w:val="en-GB"/>
        </w:rPr>
        <w:t>包括执法部门</w:t>
      </w:r>
      <w:r w:rsidR="004527D5" w:rsidRPr="00DE0653">
        <w:rPr>
          <w:rFonts w:eastAsia="SimHei" w:hint="eastAsia"/>
          <w:bCs/>
          <w:lang w:val="en-GB"/>
        </w:rPr>
        <w:t>，</w:t>
      </w:r>
      <w:r w:rsidRPr="00DE0653">
        <w:rPr>
          <w:rFonts w:eastAsia="SimHei" w:hint="eastAsia"/>
          <w:bCs/>
          <w:lang w:val="en-GB"/>
        </w:rPr>
        <w:t>必须能够证明他们与集会组织者和</w:t>
      </w:r>
      <w:r w:rsidR="004527D5" w:rsidRPr="00DE0653">
        <w:rPr>
          <w:rFonts w:eastAsia="SimHei" w:hint="eastAsia"/>
          <w:bCs/>
          <w:lang w:val="en-GB"/>
        </w:rPr>
        <w:t>/</w:t>
      </w:r>
      <w:r w:rsidRPr="00DE0653">
        <w:rPr>
          <w:rFonts w:eastAsia="SimHei" w:hint="eastAsia"/>
          <w:bCs/>
          <w:lang w:val="en-GB"/>
        </w:rPr>
        <w:t>或参与者进行真正接触的努力</w:t>
      </w:r>
      <w:r w:rsidR="004527D5" w:rsidRPr="00DE0653">
        <w:rPr>
          <w:rFonts w:eastAsia="SimHei" w:hint="eastAsia"/>
          <w:bCs/>
          <w:lang w:val="en-GB"/>
        </w:rPr>
        <w:t>；</w:t>
      </w:r>
    </w:p>
    <w:p w:rsidR="00244AF4" w:rsidRPr="00DE0653" w:rsidRDefault="00244AF4" w:rsidP="00244AF4">
      <w:pPr>
        <w:pStyle w:val="SingleTxtGC"/>
        <w:rPr>
          <w:rFonts w:eastAsia="SimHei"/>
          <w:bCs/>
        </w:rPr>
      </w:pPr>
      <w:r w:rsidRPr="00DE0653">
        <w:rPr>
          <w:rFonts w:eastAsia="SimHei"/>
          <w:lang w:val="en-GB"/>
        </w:rPr>
        <w:tab/>
      </w:r>
      <w:r w:rsidR="004527D5" w:rsidRPr="00DE0653">
        <w:rPr>
          <w:rFonts w:eastAsia="SimHei"/>
          <w:lang w:val="en-GB"/>
        </w:rPr>
        <w:t>(d)</w:t>
      </w:r>
      <w:r w:rsidRPr="00DE0653">
        <w:rPr>
          <w:rFonts w:eastAsia="SimHei"/>
          <w:lang w:val="en-GB"/>
        </w:rPr>
        <w:tab/>
      </w:r>
      <w:r w:rsidRPr="00DE0653">
        <w:rPr>
          <w:rFonts w:eastAsia="SimHei" w:hint="eastAsia"/>
          <w:bCs/>
          <w:lang w:val="en-GB"/>
        </w:rPr>
        <w:t>执法机构应当确保组织集会之前、之中和之后有一个方便的联络人。联络人应接受沟通和冲突管理技能方面的培训</w:t>
      </w:r>
      <w:r w:rsidR="004527D5" w:rsidRPr="00DE0653">
        <w:rPr>
          <w:rFonts w:eastAsia="SimHei" w:hint="eastAsia"/>
          <w:bCs/>
          <w:lang w:val="en-GB"/>
        </w:rPr>
        <w:t>，</w:t>
      </w:r>
      <w:r w:rsidRPr="00DE0653">
        <w:rPr>
          <w:rFonts w:eastAsia="SimHei" w:hint="eastAsia"/>
          <w:bCs/>
          <w:lang w:val="en-GB"/>
        </w:rPr>
        <w:t>并就安全问题和警察行为以及参与者表达的实质性要求和意见做出反应。联络职能应独立于其他警务职能</w:t>
      </w:r>
      <w:r w:rsidR="004527D5" w:rsidRPr="00DE0653">
        <w:rPr>
          <w:rFonts w:eastAsia="SimHei" w:hint="eastAsia"/>
          <w:bCs/>
          <w:lang w:val="en-GB"/>
        </w:rPr>
        <w:t>；</w:t>
      </w:r>
    </w:p>
    <w:p w:rsidR="00244AF4" w:rsidRPr="00DE0653" w:rsidRDefault="00244AF4" w:rsidP="00244AF4">
      <w:pPr>
        <w:pStyle w:val="SingleTxtGC"/>
        <w:rPr>
          <w:rFonts w:eastAsia="SimHei"/>
          <w:bCs/>
        </w:rPr>
      </w:pPr>
      <w:r w:rsidRPr="00DE0653">
        <w:rPr>
          <w:rFonts w:eastAsia="SimHei"/>
          <w:lang w:val="en-GB"/>
        </w:rPr>
        <w:tab/>
      </w:r>
      <w:r w:rsidR="004527D5" w:rsidRPr="00DE0653">
        <w:rPr>
          <w:rFonts w:eastAsia="SimHei"/>
          <w:lang w:val="en-GB"/>
        </w:rPr>
        <w:t>(e)</w:t>
      </w:r>
      <w:r w:rsidRPr="00DE0653">
        <w:rPr>
          <w:rFonts w:eastAsia="SimHei"/>
          <w:lang w:val="en-GB"/>
        </w:rPr>
        <w:tab/>
      </w:r>
      <w:r w:rsidRPr="00DE0653">
        <w:rPr>
          <w:rFonts w:eastAsia="SimHei" w:hint="eastAsia"/>
          <w:bCs/>
          <w:lang w:val="en-GB"/>
        </w:rPr>
        <w:t>各国与执法机构应确保设立集会事后情况汇报常设机制</w:t>
      </w:r>
      <w:r w:rsidR="004527D5" w:rsidRPr="00DE0653">
        <w:rPr>
          <w:rFonts w:eastAsia="SimHei" w:hint="eastAsia"/>
          <w:bCs/>
          <w:lang w:val="en-GB"/>
        </w:rPr>
        <w:t>，</w:t>
      </w:r>
      <w:r w:rsidRPr="00DE0653">
        <w:rPr>
          <w:rFonts w:eastAsia="SimHei" w:hint="eastAsia"/>
          <w:bCs/>
          <w:lang w:val="en-GB"/>
        </w:rPr>
        <w:t>以促进学习和确保对权利的保护</w:t>
      </w:r>
      <w:r w:rsidR="004527D5" w:rsidRPr="00DE0653">
        <w:rPr>
          <w:rFonts w:eastAsia="SimHei" w:hint="eastAsia"/>
          <w:bCs/>
          <w:lang w:val="en-GB"/>
        </w:rPr>
        <w:t>；</w:t>
      </w:r>
    </w:p>
    <w:p w:rsidR="00244AF4" w:rsidRPr="00DE0653" w:rsidRDefault="00244AF4" w:rsidP="00244AF4">
      <w:pPr>
        <w:pStyle w:val="SingleTxtGC"/>
        <w:rPr>
          <w:rFonts w:eastAsia="SimHei"/>
          <w:bCs/>
        </w:rPr>
      </w:pPr>
      <w:r w:rsidRPr="00DE0653">
        <w:rPr>
          <w:rFonts w:eastAsia="SimHei"/>
          <w:lang w:val="en-GB"/>
        </w:rPr>
        <w:lastRenderedPageBreak/>
        <w:tab/>
      </w:r>
      <w:r w:rsidR="004527D5" w:rsidRPr="00DE0653">
        <w:rPr>
          <w:rFonts w:eastAsia="SimHei"/>
          <w:lang w:val="en-GB"/>
        </w:rPr>
        <w:t>(f)</w:t>
      </w:r>
      <w:r w:rsidRPr="00DE0653">
        <w:rPr>
          <w:rFonts w:eastAsia="SimHei"/>
          <w:lang w:val="en-GB"/>
        </w:rPr>
        <w:tab/>
      </w:r>
      <w:r w:rsidRPr="00DE0653">
        <w:rPr>
          <w:rFonts w:eastAsia="SimHei" w:hint="eastAsia"/>
          <w:bCs/>
          <w:lang w:val="en-GB"/>
        </w:rPr>
        <w:t>如果组织者在集会中安排管理人员</w:t>
      </w:r>
      <w:r w:rsidR="004527D5" w:rsidRPr="00DE0653">
        <w:rPr>
          <w:rFonts w:eastAsia="SimHei" w:hint="eastAsia"/>
          <w:bCs/>
          <w:lang w:val="en-GB"/>
        </w:rPr>
        <w:t>，</w:t>
      </w:r>
      <w:r w:rsidRPr="00DE0653">
        <w:rPr>
          <w:rFonts w:eastAsia="SimHei" w:hint="eastAsia"/>
          <w:bCs/>
          <w:lang w:val="en-GB"/>
        </w:rPr>
        <w:t>执法机构应与他们开展合作。管理人员应易于识别并应接受适当的培训和情况介绍。主管部门不应要求组织者提供管理人员</w:t>
      </w:r>
      <w:r w:rsidR="004527D5" w:rsidRPr="00DE0653">
        <w:rPr>
          <w:rFonts w:eastAsia="SimHei" w:hint="eastAsia"/>
          <w:bCs/>
          <w:lang w:val="en-GB"/>
        </w:rPr>
        <w:t>；</w:t>
      </w:r>
    </w:p>
    <w:p w:rsidR="00244AF4" w:rsidRPr="00DE0653" w:rsidRDefault="00244AF4" w:rsidP="00244AF4">
      <w:pPr>
        <w:pStyle w:val="SingleTxtGC"/>
        <w:rPr>
          <w:rFonts w:eastAsia="SimHei"/>
          <w:bCs/>
          <w:lang w:val="en-GB"/>
        </w:rPr>
      </w:pPr>
      <w:r w:rsidRPr="00DE0653">
        <w:rPr>
          <w:rFonts w:eastAsia="SimHei"/>
          <w:lang w:val="en-GB"/>
        </w:rPr>
        <w:tab/>
      </w:r>
      <w:r w:rsidR="004527D5" w:rsidRPr="00DE0653">
        <w:rPr>
          <w:rFonts w:eastAsia="SimHei"/>
          <w:lang w:val="en-GB"/>
        </w:rPr>
        <w:t>(g)</w:t>
      </w:r>
      <w:r w:rsidRPr="00DE0653">
        <w:rPr>
          <w:rFonts w:eastAsia="SimHei"/>
          <w:lang w:val="en-GB"/>
        </w:rPr>
        <w:tab/>
      </w:r>
      <w:r w:rsidRPr="00DE0653">
        <w:rPr>
          <w:rFonts w:eastAsia="SimHei" w:hint="eastAsia"/>
          <w:bCs/>
          <w:lang w:val="en-GB"/>
        </w:rPr>
        <w:t>不应对集会使用侵扰性的预防措施。不得拦截</w:t>
      </w:r>
      <w:r w:rsidR="004527D5" w:rsidRPr="00DE0653">
        <w:rPr>
          <w:rFonts w:eastAsia="SimHei" w:hint="eastAsia"/>
          <w:bCs/>
          <w:lang w:val="en-GB"/>
        </w:rPr>
        <w:t>，</w:t>
      </w:r>
      <w:r w:rsidRPr="00DE0653">
        <w:rPr>
          <w:rFonts w:eastAsia="SimHei" w:hint="eastAsia"/>
          <w:bCs/>
          <w:lang w:val="en-GB"/>
        </w:rPr>
        <w:t>搜查或逮捕去往集会途中的参与者</w:t>
      </w:r>
      <w:r w:rsidR="004527D5" w:rsidRPr="00DE0653">
        <w:rPr>
          <w:rFonts w:eastAsia="SimHei" w:hint="eastAsia"/>
          <w:bCs/>
          <w:lang w:val="en-GB"/>
        </w:rPr>
        <w:t>，</w:t>
      </w:r>
      <w:r w:rsidRPr="00DE0653">
        <w:rPr>
          <w:rFonts w:eastAsia="SimHei" w:hint="eastAsia"/>
          <w:bCs/>
          <w:lang w:val="en-GB"/>
        </w:rPr>
        <w:t>除非当时存在明确的迫在眉睫的暴力危险。</w:t>
      </w:r>
    </w:p>
    <w:p w:rsidR="00244AF4" w:rsidRPr="00244AF4" w:rsidRDefault="00244AF4" w:rsidP="004527D5">
      <w:pPr>
        <w:pStyle w:val="H1GC"/>
        <w:rPr>
          <w:lang w:val="en-GB"/>
        </w:rPr>
      </w:pPr>
      <w:bookmarkStart w:id="32" w:name="_Toc440290942"/>
      <w:bookmarkEnd w:id="27"/>
      <w:bookmarkEnd w:id="28"/>
      <w:bookmarkEnd w:id="29"/>
      <w:bookmarkEnd w:id="30"/>
      <w:bookmarkEnd w:id="31"/>
      <w:r w:rsidRPr="00244AF4">
        <w:rPr>
          <w:lang w:val="en-GB"/>
        </w:rPr>
        <w:tab/>
      </w:r>
      <w:r w:rsidR="004527D5">
        <w:rPr>
          <w:lang w:val="en-GB"/>
        </w:rPr>
        <w:t>E</w:t>
      </w:r>
      <w:r w:rsidRPr="00244AF4">
        <w:rPr>
          <w:lang w:val="en-GB"/>
        </w:rPr>
        <w:t>.</w:t>
      </w:r>
      <w:r w:rsidRPr="00244AF4">
        <w:rPr>
          <w:lang w:val="en-GB"/>
        </w:rPr>
        <w:tab/>
      </w:r>
      <w:bookmarkEnd w:id="32"/>
      <w:r w:rsidRPr="00244AF4">
        <w:rPr>
          <w:rFonts w:hint="eastAsia"/>
          <w:lang w:val="en-GB"/>
        </w:rPr>
        <w:t>除非的确无法避免</w:t>
      </w:r>
      <w:r w:rsidR="004527D5">
        <w:rPr>
          <w:rFonts w:hint="eastAsia"/>
          <w:lang w:val="en-GB"/>
        </w:rPr>
        <w:t>，</w:t>
      </w:r>
      <w:r w:rsidRPr="00244AF4">
        <w:rPr>
          <w:rFonts w:hint="eastAsia"/>
          <w:lang w:val="en-GB"/>
        </w:rPr>
        <w:t>否则不应使用武力</w:t>
      </w:r>
      <w:r w:rsidR="004527D5">
        <w:rPr>
          <w:rFonts w:hint="eastAsia"/>
          <w:lang w:val="en-GB"/>
        </w:rPr>
        <w:t>，</w:t>
      </w:r>
      <w:r w:rsidRPr="00244AF4">
        <w:rPr>
          <w:rFonts w:hint="eastAsia"/>
          <w:lang w:val="en-GB"/>
        </w:rPr>
        <w:t>如使用</w:t>
      </w:r>
      <w:r w:rsidR="004527D5">
        <w:rPr>
          <w:rFonts w:hint="eastAsia"/>
          <w:lang w:val="en-GB"/>
        </w:rPr>
        <w:t>，</w:t>
      </w:r>
      <w:r w:rsidRPr="00244AF4">
        <w:rPr>
          <w:rFonts w:hint="eastAsia"/>
          <w:lang w:val="en-GB"/>
        </w:rPr>
        <w:t>则须遵循国际</w:t>
      </w:r>
      <w:r w:rsidR="004527D5">
        <w:rPr>
          <w:lang w:val="en-GB"/>
        </w:rPr>
        <w:br/>
      </w:r>
      <w:r w:rsidRPr="00244AF4">
        <w:rPr>
          <w:rFonts w:hint="eastAsia"/>
          <w:lang w:val="en-GB"/>
        </w:rPr>
        <w:t>人权法</w:t>
      </w:r>
    </w:p>
    <w:p w:rsidR="00244AF4" w:rsidRPr="00244AF4" w:rsidRDefault="004527D5" w:rsidP="00244AF4">
      <w:pPr>
        <w:pStyle w:val="SingleTxtGC"/>
      </w:pPr>
      <w:r>
        <w:t>50.</w:t>
      </w:r>
      <w:r w:rsidR="003C70F0">
        <w:t xml:space="preserve">  </w:t>
      </w:r>
      <w:r w:rsidR="00244AF4" w:rsidRPr="00244AF4">
        <w:rPr>
          <w:rFonts w:hint="eastAsia"/>
          <w:lang w:val="en-GB"/>
        </w:rPr>
        <w:t>根据国际法</w:t>
      </w:r>
      <w:r>
        <w:rPr>
          <w:rFonts w:hint="eastAsia"/>
          <w:lang w:val="en-GB"/>
        </w:rPr>
        <w:t>，</w:t>
      </w:r>
      <w:r w:rsidR="00244AF4" w:rsidRPr="00244AF4">
        <w:rPr>
          <w:rFonts w:hint="eastAsia"/>
          <w:lang w:val="en-GB"/>
        </w:rPr>
        <w:t>国家及其执法机构和官员有义务一视同仁地尊重和保护所有集会参与者以及监测员和旁观者的权利。</w:t>
      </w:r>
      <w:r w:rsidR="00244AF4" w:rsidRPr="006A5AF9">
        <w:rPr>
          <w:color w:val="0000FF"/>
          <w:vertAlign w:val="superscript"/>
          <w:lang w:val="en-GB"/>
        </w:rPr>
        <w:footnoteReference w:id="35"/>
      </w:r>
      <w:r>
        <w:rPr>
          <w:rFonts w:hint="eastAsia"/>
          <w:lang w:val="en-GB"/>
        </w:rPr>
        <w:t xml:space="preserve"> </w:t>
      </w:r>
      <w:r w:rsidR="00244AF4" w:rsidRPr="00244AF4">
        <w:rPr>
          <w:rFonts w:hint="eastAsia"/>
          <w:lang w:val="en-GB"/>
        </w:rPr>
        <w:t>关于使用武力的规范框架包括合法性、预防、必要性、相称性和问责制原则。</w:t>
      </w:r>
    </w:p>
    <w:p w:rsidR="00244AF4" w:rsidRPr="00244AF4" w:rsidRDefault="004527D5" w:rsidP="00244AF4">
      <w:pPr>
        <w:pStyle w:val="SingleTxtGC"/>
      </w:pPr>
      <w:r>
        <w:t>51.</w:t>
      </w:r>
      <w:r w:rsidR="003C70F0">
        <w:t xml:space="preserve">  </w:t>
      </w:r>
      <w:r w:rsidR="00244AF4" w:rsidRPr="00244AF4">
        <w:rPr>
          <w:rFonts w:hint="eastAsia"/>
          <w:lang w:val="en-GB"/>
        </w:rPr>
        <w:t>合法性原则要求各国为使用武力</w:t>
      </w:r>
      <w:r>
        <w:rPr>
          <w:rFonts w:hint="eastAsia"/>
          <w:lang w:val="en-GB"/>
        </w:rPr>
        <w:t>(</w:t>
      </w:r>
      <w:r w:rsidR="00244AF4" w:rsidRPr="00244AF4">
        <w:rPr>
          <w:rFonts w:hint="eastAsia"/>
          <w:lang w:val="en-GB"/>
        </w:rPr>
        <w:t>特别是可能致命的武力</w:t>
      </w:r>
      <w:r>
        <w:rPr>
          <w:rFonts w:hint="eastAsia"/>
          <w:lang w:val="en-GB"/>
        </w:rPr>
        <w:t>)</w:t>
      </w:r>
      <w:r w:rsidR="00244AF4" w:rsidRPr="00244AF4">
        <w:rPr>
          <w:rFonts w:hint="eastAsia"/>
          <w:lang w:val="en-GB"/>
        </w:rPr>
        <w:t>制定符合国际标准的国内法律框架</w:t>
      </w:r>
      <w:r>
        <w:rPr>
          <w:rFonts w:hint="eastAsia"/>
          <w:lang w:val="en-GB"/>
        </w:rPr>
        <w:t>(</w:t>
      </w:r>
      <w:r w:rsidR="00244AF4" w:rsidRPr="00244AF4">
        <w:rPr>
          <w:rFonts w:hint="eastAsia"/>
          <w:lang w:val="en-GB"/>
        </w:rPr>
        <w:t>见</w:t>
      </w:r>
      <w:r>
        <w:rPr>
          <w:rFonts w:hint="eastAsia"/>
          <w:lang w:val="en-GB"/>
        </w:rPr>
        <w:t xml:space="preserve">A/HRC/26/36, </w:t>
      </w:r>
      <w:r w:rsidR="00244AF4" w:rsidRPr="00244AF4">
        <w:rPr>
          <w:rFonts w:hint="eastAsia"/>
          <w:lang w:val="en-GB"/>
        </w:rPr>
        <w:t>第</w:t>
      </w:r>
      <w:r>
        <w:rPr>
          <w:rFonts w:hint="eastAsia"/>
          <w:lang w:val="en-GB"/>
        </w:rPr>
        <w:t>56</w:t>
      </w:r>
      <w:r w:rsidR="00244AF4" w:rsidRPr="00244AF4">
        <w:rPr>
          <w:rFonts w:hint="eastAsia"/>
          <w:lang w:val="en-GB"/>
        </w:rPr>
        <w:t>段</w:t>
      </w:r>
      <w:r>
        <w:rPr>
          <w:rFonts w:hint="eastAsia"/>
          <w:lang w:val="en-GB"/>
        </w:rPr>
        <w:t>)</w:t>
      </w:r>
      <w:r w:rsidR="00244AF4" w:rsidRPr="00244AF4">
        <w:rPr>
          <w:rFonts w:hint="eastAsia"/>
          <w:lang w:val="en-GB"/>
        </w:rPr>
        <w:t>。规范框架应明确限制在集会</w:t>
      </w:r>
      <w:r>
        <w:rPr>
          <w:rFonts w:hint="eastAsia"/>
          <w:lang w:val="en-GB"/>
        </w:rPr>
        <w:t>(</w:t>
      </w:r>
      <w:r w:rsidR="00244AF4" w:rsidRPr="00244AF4">
        <w:rPr>
          <w:rFonts w:hint="eastAsia"/>
          <w:lang w:val="en-GB"/>
        </w:rPr>
        <w:t>包括抗议</w:t>
      </w:r>
      <w:r>
        <w:rPr>
          <w:rFonts w:hint="eastAsia"/>
          <w:lang w:val="en-GB"/>
        </w:rPr>
        <w:t>)</w:t>
      </w:r>
      <w:r w:rsidR="00244AF4" w:rsidRPr="00244AF4">
        <w:rPr>
          <w:rFonts w:hint="eastAsia"/>
          <w:lang w:val="en-GB"/>
        </w:rPr>
        <w:t>期间使用武器和战术行动</w:t>
      </w:r>
      <w:r>
        <w:rPr>
          <w:rFonts w:hint="eastAsia"/>
          <w:lang w:val="en-GB"/>
        </w:rPr>
        <w:t>，</w:t>
      </w:r>
      <w:r w:rsidR="00244AF4" w:rsidRPr="00244AF4">
        <w:rPr>
          <w:rFonts w:hint="eastAsia"/>
          <w:lang w:val="en-GB"/>
        </w:rPr>
        <w:t>并应包含武器和设备正式批准和部署程序。</w:t>
      </w:r>
      <w:r w:rsidR="00244AF4" w:rsidRPr="006A5AF9">
        <w:rPr>
          <w:color w:val="0000FF"/>
          <w:vertAlign w:val="superscript"/>
          <w:lang w:val="en-GB"/>
        </w:rPr>
        <w:footnoteReference w:id="36"/>
      </w:r>
    </w:p>
    <w:p w:rsidR="00244AF4" w:rsidRPr="00244AF4" w:rsidRDefault="004527D5" w:rsidP="00244AF4">
      <w:pPr>
        <w:pStyle w:val="SingleTxtGC"/>
      </w:pPr>
      <w:r>
        <w:t>52.</w:t>
      </w:r>
      <w:r w:rsidR="003C70F0">
        <w:t xml:space="preserve">  </w:t>
      </w:r>
      <w:r w:rsidR="00244AF4" w:rsidRPr="00244AF4">
        <w:rPr>
          <w:rFonts w:hint="eastAsia"/>
          <w:lang w:val="en-GB"/>
        </w:rPr>
        <w:t>预防原则要求在计划、准备和执行与集会有关的行动时采取一切可行步骤以避免使用武力</w:t>
      </w:r>
      <w:r>
        <w:rPr>
          <w:rFonts w:hint="eastAsia"/>
          <w:lang w:val="en-GB"/>
        </w:rPr>
        <w:t>，</w:t>
      </w:r>
      <w:r w:rsidR="00244AF4" w:rsidRPr="00244AF4">
        <w:rPr>
          <w:rFonts w:hint="eastAsia"/>
          <w:lang w:val="en-GB"/>
        </w:rPr>
        <w:t>或在使用武力不可避免的情况下</w:t>
      </w:r>
      <w:r>
        <w:rPr>
          <w:rFonts w:hint="eastAsia"/>
          <w:lang w:val="en-GB"/>
        </w:rPr>
        <w:t>，</w:t>
      </w:r>
      <w:r w:rsidR="00244AF4" w:rsidRPr="00244AF4">
        <w:rPr>
          <w:rFonts w:hint="eastAsia"/>
          <w:lang w:val="en-GB"/>
        </w:rPr>
        <w:t>尽量减少其有害后果。即使在某种情况下使用武力符合必要性和相称性要求</w:t>
      </w:r>
      <w:r>
        <w:rPr>
          <w:rFonts w:hint="eastAsia"/>
          <w:lang w:val="en-GB"/>
        </w:rPr>
        <w:t>，</w:t>
      </w:r>
      <w:r w:rsidR="00244AF4" w:rsidRPr="00244AF4">
        <w:rPr>
          <w:rFonts w:hint="eastAsia"/>
          <w:lang w:val="en-GB"/>
        </w:rPr>
        <w:t>也应首先合理地防止必须使用武力的情况</w:t>
      </w:r>
      <w:r>
        <w:rPr>
          <w:rFonts w:hint="eastAsia"/>
          <w:lang w:val="en-GB"/>
        </w:rPr>
        <w:t>，</w:t>
      </w:r>
      <w:r w:rsidR="00244AF4" w:rsidRPr="00244AF4">
        <w:rPr>
          <w:rFonts w:hint="eastAsia"/>
          <w:lang w:val="en-GB"/>
        </w:rPr>
        <w:t>国家可就因未能采取适当预防措施而被追究责任。</w:t>
      </w:r>
      <w:r w:rsidR="00244AF4" w:rsidRPr="006A5AF9">
        <w:rPr>
          <w:color w:val="0000FF"/>
          <w:vertAlign w:val="superscript"/>
          <w:lang w:val="en-GB"/>
        </w:rPr>
        <w:footnoteReference w:id="37"/>
      </w:r>
      <w:r>
        <w:rPr>
          <w:rFonts w:hint="eastAsia"/>
          <w:lang w:val="en-GB"/>
        </w:rPr>
        <w:t xml:space="preserve"> </w:t>
      </w:r>
      <w:r w:rsidR="00244AF4" w:rsidRPr="00244AF4">
        <w:rPr>
          <w:rFonts w:hint="eastAsia"/>
          <w:lang w:val="en-GB"/>
        </w:rPr>
        <w:t>培训应包括符合有关集会法律框架的便利和管理人群的技巧。</w:t>
      </w:r>
      <w:r w:rsidR="00244AF4" w:rsidRPr="006A5AF9">
        <w:rPr>
          <w:color w:val="0000FF"/>
          <w:vertAlign w:val="superscript"/>
          <w:lang w:val="en-GB"/>
        </w:rPr>
        <w:footnoteReference w:id="38"/>
      </w:r>
      <w:r>
        <w:rPr>
          <w:rFonts w:hint="eastAsia"/>
          <w:lang w:val="en-GB"/>
        </w:rPr>
        <w:t xml:space="preserve"> </w:t>
      </w:r>
      <w:r w:rsidR="00244AF4" w:rsidRPr="00244AF4">
        <w:rPr>
          <w:rFonts w:hint="eastAsia"/>
          <w:lang w:val="en-GB"/>
        </w:rPr>
        <w:t>各国必须确保对本国执法人员提供关于合法使用武力及使用为其配备的武器的定期培训和测试。</w:t>
      </w:r>
      <w:r w:rsidR="00244AF4" w:rsidRPr="006A5AF9">
        <w:rPr>
          <w:color w:val="0000FF"/>
          <w:vertAlign w:val="superscript"/>
          <w:lang w:val="en-GB"/>
        </w:rPr>
        <w:footnoteReference w:id="39"/>
      </w:r>
    </w:p>
    <w:p w:rsidR="00244AF4" w:rsidRPr="00244AF4" w:rsidRDefault="004527D5" w:rsidP="00244AF4">
      <w:pPr>
        <w:pStyle w:val="SingleTxtGC"/>
      </w:pPr>
      <w:r>
        <w:t>53.</w:t>
      </w:r>
      <w:r w:rsidR="003C70F0">
        <w:t xml:space="preserve">  </w:t>
      </w:r>
      <w:r w:rsidR="00244AF4" w:rsidRPr="00244AF4">
        <w:rPr>
          <w:rFonts w:hint="eastAsia"/>
          <w:lang w:val="en-GB"/>
        </w:rPr>
        <w:t>根据风险评估</w:t>
      </w:r>
      <w:r>
        <w:rPr>
          <w:rFonts w:hint="eastAsia"/>
          <w:lang w:val="en-GB"/>
        </w:rPr>
        <w:t>，</w:t>
      </w:r>
      <w:r w:rsidR="00244AF4" w:rsidRPr="00244AF4">
        <w:rPr>
          <w:rFonts w:hint="eastAsia"/>
          <w:lang w:val="en-GB"/>
        </w:rPr>
        <w:t>在集会期间部署给执法人员的装备应包含适当的个人防护装备和适当的低致命性武器。</w:t>
      </w:r>
      <w:r w:rsidR="00244AF4" w:rsidRPr="006A5AF9">
        <w:rPr>
          <w:color w:val="0000FF"/>
          <w:vertAlign w:val="superscript"/>
          <w:lang w:val="en-GB"/>
        </w:rPr>
        <w:footnoteReference w:id="40"/>
      </w:r>
      <w:r>
        <w:rPr>
          <w:rFonts w:hint="eastAsia"/>
          <w:lang w:val="en-GB"/>
        </w:rPr>
        <w:t xml:space="preserve"> </w:t>
      </w:r>
      <w:r w:rsidR="00244AF4" w:rsidRPr="00244AF4">
        <w:rPr>
          <w:rFonts w:hint="eastAsia"/>
          <w:lang w:val="en-GB"/>
        </w:rPr>
        <w:t>武器和战术行动应能作出逐步反应并缓和紧张局势。因此</w:t>
      </w:r>
      <w:r>
        <w:rPr>
          <w:rFonts w:hint="eastAsia"/>
          <w:lang w:val="en-GB"/>
        </w:rPr>
        <w:t>，</w:t>
      </w:r>
      <w:r w:rsidR="00244AF4" w:rsidRPr="00244AF4">
        <w:rPr>
          <w:rFonts w:hint="eastAsia"/>
          <w:lang w:val="en-GB"/>
        </w:rPr>
        <w:t>向执法人员提供火器</w:t>
      </w:r>
      <w:r>
        <w:rPr>
          <w:rFonts w:hint="eastAsia"/>
          <w:lang w:val="en-GB"/>
        </w:rPr>
        <w:t>，</w:t>
      </w:r>
      <w:r w:rsidR="00244AF4" w:rsidRPr="00244AF4">
        <w:rPr>
          <w:rFonts w:hint="eastAsia"/>
          <w:lang w:val="en-GB"/>
        </w:rPr>
        <w:t>却除警棍之外没有其他低致命性的替代装备是不可接受的。</w:t>
      </w:r>
    </w:p>
    <w:p w:rsidR="00244AF4" w:rsidRPr="00244AF4" w:rsidRDefault="004527D5" w:rsidP="00244AF4">
      <w:pPr>
        <w:pStyle w:val="SingleTxtGC"/>
      </w:pPr>
      <w:r>
        <w:lastRenderedPageBreak/>
        <w:t>54.</w:t>
      </w:r>
      <w:r w:rsidR="003C70F0">
        <w:t xml:space="preserve">  </w:t>
      </w:r>
      <w:r w:rsidR="00244AF4" w:rsidRPr="00244AF4">
        <w:rPr>
          <w:rFonts w:hint="eastAsia"/>
          <w:lang w:val="en-GB"/>
        </w:rPr>
        <w:t>在必要的情况下</w:t>
      </w:r>
      <w:r>
        <w:rPr>
          <w:rFonts w:hint="eastAsia"/>
          <w:lang w:val="en-GB"/>
        </w:rPr>
        <w:t>，</w:t>
      </w:r>
      <w:r w:rsidR="00244AF4" w:rsidRPr="00244AF4">
        <w:rPr>
          <w:rFonts w:hint="eastAsia"/>
          <w:lang w:val="en-GB"/>
        </w:rPr>
        <w:t>执法人员必须有适当装备保护</w:t>
      </w:r>
      <w:r>
        <w:rPr>
          <w:rFonts w:hint="eastAsia"/>
          <w:lang w:val="en-GB"/>
        </w:rPr>
        <w:t>，</w:t>
      </w:r>
      <w:r w:rsidR="00244AF4" w:rsidRPr="00244AF4">
        <w:rPr>
          <w:rFonts w:hint="eastAsia"/>
          <w:lang w:val="en-GB"/>
        </w:rPr>
        <w:t>如盾牌、头盔以及防刺和</w:t>
      </w:r>
      <w:r>
        <w:rPr>
          <w:rFonts w:hint="eastAsia"/>
          <w:lang w:val="en-GB"/>
        </w:rPr>
        <w:t>/</w:t>
      </w:r>
      <w:r w:rsidR="00244AF4" w:rsidRPr="00244AF4">
        <w:rPr>
          <w:rFonts w:hint="eastAsia"/>
          <w:lang w:val="en-GB"/>
        </w:rPr>
        <w:t>或防弹衣</w:t>
      </w:r>
      <w:r>
        <w:rPr>
          <w:rFonts w:hint="eastAsia"/>
          <w:lang w:val="en-GB"/>
        </w:rPr>
        <w:t>，</w:t>
      </w:r>
      <w:r w:rsidR="00244AF4" w:rsidRPr="00244AF4">
        <w:rPr>
          <w:rFonts w:hint="eastAsia"/>
          <w:lang w:val="en-GB"/>
        </w:rPr>
        <w:t>以降低执法人员使用任何武器的需要。不应授权使用不能实现正当执法目标或构成不必要风险</w:t>
      </w:r>
      <w:r>
        <w:rPr>
          <w:rFonts w:hint="eastAsia"/>
          <w:lang w:val="en-GB"/>
        </w:rPr>
        <w:t>(</w:t>
      </w:r>
      <w:r w:rsidR="00244AF4" w:rsidRPr="00244AF4">
        <w:rPr>
          <w:rFonts w:hint="eastAsia"/>
          <w:lang w:val="en-GB"/>
        </w:rPr>
        <w:t>特别是在集会环境下</w:t>
      </w:r>
      <w:r>
        <w:rPr>
          <w:rFonts w:hint="eastAsia"/>
          <w:lang w:val="en-GB"/>
        </w:rPr>
        <w:t>)</w:t>
      </w:r>
      <w:r w:rsidR="00244AF4" w:rsidRPr="00244AF4">
        <w:rPr>
          <w:rFonts w:hint="eastAsia"/>
          <w:lang w:val="en-GB"/>
        </w:rPr>
        <w:t>的装备和武器。</w:t>
      </w:r>
      <w:r w:rsidR="00244AF4" w:rsidRPr="006A5AF9">
        <w:rPr>
          <w:color w:val="0000FF"/>
          <w:vertAlign w:val="superscript"/>
          <w:lang w:val="en-GB"/>
        </w:rPr>
        <w:footnoteReference w:id="41"/>
      </w:r>
    </w:p>
    <w:p w:rsidR="00244AF4" w:rsidRPr="00244AF4" w:rsidRDefault="004527D5" w:rsidP="00244AF4">
      <w:pPr>
        <w:pStyle w:val="SingleTxtGC"/>
      </w:pPr>
      <w:r>
        <w:t>55.</w:t>
      </w:r>
      <w:r w:rsidR="003C70F0">
        <w:t xml:space="preserve">  </w:t>
      </w:r>
      <w:r w:rsidR="00244AF4" w:rsidRPr="00244AF4">
        <w:rPr>
          <w:rFonts w:hint="eastAsia"/>
          <w:lang w:val="en-GB"/>
        </w:rPr>
        <w:t>各国必须购买低致命性武器供适当情况下使用</w:t>
      </w:r>
      <w:r>
        <w:rPr>
          <w:rFonts w:hint="eastAsia"/>
          <w:lang w:val="en-GB"/>
        </w:rPr>
        <w:t>，</w:t>
      </w:r>
      <w:r w:rsidR="00244AF4" w:rsidRPr="00244AF4">
        <w:rPr>
          <w:rFonts w:hint="eastAsia"/>
          <w:lang w:val="en-GB"/>
        </w:rPr>
        <w:t>以期不断扩大对使用可造成死亡或伤害的手段的限制。</w:t>
      </w:r>
      <w:r w:rsidR="00244AF4" w:rsidRPr="006A5AF9">
        <w:rPr>
          <w:color w:val="0000FF"/>
          <w:vertAlign w:val="superscript"/>
          <w:lang w:val="en-GB"/>
        </w:rPr>
        <w:footnoteReference w:id="42"/>
      </w:r>
      <w:r>
        <w:rPr>
          <w:rFonts w:hint="eastAsia"/>
          <w:lang w:val="en-GB"/>
        </w:rPr>
        <w:t xml:space="preserve"> </w:t>
      </w:r>
      <w:r w:rsidR="00244AF4" w:rsidRPr="00244AF4">
        <w:rPr>
          <w:rFonts w:hint="eastAsia"/>
          <w:lang w:val="en-GB"/>
        </w:rPr>
        <w:t>低致命性武器必须经过独立的科学检验和批准</w:t>
      </w:r>
      <w:r>
        <w:rPr>
          <w:rFonts w:hint="eastAsia"/>
          <w:lang w:val="en-GB"/>
        </w:rPr>
        <w:t>，</w:t>
      </w:r>
      <w:r w:rsidR="00244AF4" w:rsidRPr="00244AF4">
        <w:rPr>
          <w:rFonts w:hint="eastAsia"/>
          <w:lang w:val="en-GB"/>
        </w:rPr>
        <w:t>并由训练有素的执法人员负责任地使用</w:t>
      </w:r>
      <w:r>
        <w:rPr>
          <w:rFonts w:hint="eastAsia"/>
          <w:lang w:val="en-GB"/>
        </w:rPr>
        <w:t>，</w:t>
      </w:r>
      <w:r w:rsidR="00244AF4" w:rsidRPr="00244AF4">
        <w:rPr>
          <w:rFonts w:hint="eastAsia"/>
          <w:lang w:val="en-GB"/>
        </w:rPr>
        <w:t>因为如果不能正确使用或没有遵守国际法和人权标准使用这种武器</w:t>
      </w:r>
      <w:r>
        <w:rPr>
          <w:rFonts w:hint="eastAsia"/>
          <w:lang w:val="en-GB"/>
        </w:rPr>
        <w:t>，</w:t>
      </w:r>
      <w:r w:rsidR="00244AF4" w:rsidRPr="00244AF4">
        <w:rPr>
          <w:rFonts w:hint="eastAsia"/>
          <w:lang w:val="en-GB"/>
        </w:rPr>
        <w:t>这些武器可能产生致命或伤害后果。各国应努力制定和执行关于培训和使用低致命性武器的国际议定书。</w:t>
      </w:r>
    </w:p>
    <w:p w:rsidR="00244AF4" w:rsidRPr="00244AF4" w:rsidRDefault="004527D5" w:rsidP="00244AF4">
      <w:pPr>
        <w:pStyle w:val="SingleTxtGC"/>
      </w:pPr>
      <w:r>
        <w:t>56.</w:t>
      </w:r>
      <w:r w:rsidR="003C70F0">
        <w:t xml:space="preserve">  </w:t>
      </w:r>
      <w:r w:rsidR="00244AF4" w:rsidRPr="00244AF4">
        <w:rPr>
          <w:rFonts w:hint="eastAsia"/>
          <w:lang w:val="en-GB"/>
        </w:rPr>
        <w:t>越来越多的遥控武器正在出现</w:t>
      </w:r>
      <w:r>
        <w:rPr>
          <w:rFonts w:hint="eastAsia"/>
          <w:lang w:val="en-GB"/>
        </w:rPr>
        <w:t>，</w:t>
      </w:r>
      <w:r w:rsidR="00244AF4" w:rsidRPr="00244AF4">
        <w:rPr>
          <w:rFonts w:hint="eastAsia"/>
          <w:lang w:val="en-GB"/>
        </w:rPr>
        <w:t>特别在集会治安方面。对此应当极其谨慎。如果采用先进技术</w:t>
      </w:r>
      <w:r>
        <w:rPr>
          <w:rFonts w:hint="eastAsia"/>
          <w:lang w:val="en-GB"/>
        </w:rPr>
        <w:t>，</w:t>
      </w:r>
      <w:r w:rsidR="00244AF4" w:rsidRPr="00244AF4">
        <w:rPr>
          <w:rFonts w:hint="eastAsia"/>
          <w:lang w:val="en-GB"/>
        </w:rPr>
        <w:t>执法人员本人必须对实际提供或使用火力时刻保持控制</w:t>
      </w:r>
      <w:r>
        <w:rPr>
          <w:rFonts w:hint="eastAsia"/>
          <w:lang w:val="en-GB"/>
        </w:rPr>
        <w:t>(</w:t>
      </w:r>
      <w:r w:rsidR="00244AF4" w:rsidRPr="00244AF4">
        <w:rPr>
          <w:rFonts w:hint="eastAsia"/>
          <w:lang w:val="en-GB"/>
        </w:rPr>
        <w:t>见</w:t>
      </w:r>
      <w:r>
        <w:rPr>
          <w:rFonts w:hint="eastAsia"/>
          <w:lang w:val="en-GB"/>
        </w:rPr>
        <w:t xml:space="preserve">A/69/265, </w:t>
      </w:r>
      <w:r w:rsidR="00244AF4" w:rsidRPr="00244AF4">
        <w:rPr>
          <w:rFonts w:hint="eastAsia"/>
          <w:lang w:val="en-GB"/>
        </w:rPr>
        <w:t>第</w:t>
      </w:r>
      <w:r>
        <w:rPr>
          <w:rFonts w:hint="eastAsia"/>
          <w:lang w:val="en-GB"/>
        </w:rPr>
        <w:t>77</w:t>
      </w:r>
      <w:r w:rsidR="00244AF4" w:rsidRPr="00244AF4">
        <w:rPr>
          <w:rFonts w:hint="eastAsia"/>
          <w:lang w:val="en-GB"/>
        </w:rPr>
        <w:t>-</w:t>
      </w:r>
      <w:r>
        <w:rPr>
          <w:rFonts w:hint="eastAsia"/>
          <w:lang w:val="en-GB"/>
        </w:rPr>
        <w:t>87</w:t>
      </w:r>
      <w:r w:rsidR="00244AF4" w:rsidRPr="00244AF4">
        <w:rPr>
          <w:rFonts w:hint="eastAsia"/>
          <w:lang w:val="en-GB"/>
        </w:rPr>
        <w:t>段</w:t>
      </w:r>
      <w:r>
        <w:rPr>
          <w:rFonts w:hint="eastAsia"/>
          <w:lang w:val="en-GB"/>
        </w:rPr>
        <w:t>)</w:t>
      </w:r>
      <w:r w:rsidR="00244AF4" w:rsidRPr="00244AF4">
        <w:rPr>
          <w:rFonts w:hint="eastAsia"/>
          <w:lang w:val="en-GB"/>
        </w:rPr>
        <w:t>。</w:t>
      </w:r>
      <w:r w:rsidR="00244AF4" w:rsidRPr="006A5AF9">
        <w:rPr>
          <w:color w:val="0000FF"/>
          <w:vertAlign w:val="superscript"/>
          <w:lang w:val="en-GB"/>
        </w:rPr>
        <w:footnoteReference w:id="43"/>
      </w:r>
    </w:p>
    <w:p w:rsidR="00244AF4" w:rsidRPr="00244AF4" w:rsidRDefault="004527D5" w:rsidP="00244AF4">
      <w:pPr>
        <w:pStyle w:val="SingleTxtGC"/>
      </w:pPr>
      <w:r>
        <w:t>57.</w:t>
      </w:r>
      <w:r w:rsidR="003C70F0">
        <w:t xml:space="preserve">  </w:t>
      </w:r>
      <w:r w:rsidR="00244AF4" w:rsidRPr="00244AF4">
        <w:rPr>
          <w:rFonts w:hint="eastAsia"/>
          <w:lang w:val="en-GB"/>
        </w:rPr>
        <w:t>执法人员使用武力应当是例外情况</w:t>
      </w:r>
      <w:r>
        <w:rPr>
          <w:rFonts w:hint="eastAsia"/>
          <w:lang w:val="en-GB"/>
        </w:rPr>
        <w:t>，</w:t>
      </w:r>
      <w:r w:rsidR="00244AF4" w:rsidRPr="006A5AF9">
        <w:rPr>
          <w:color w:val="0000FF"/>
          <w:vertAlign w:val="superscript"/>
          <w:lang w:val="en-GB"/>
        </w:rPr>
        <w:footnoteReference w:id="44"/>
      </w:r>
      <w:r>
        <w:rPr>
          <w:rFonts w:hint="eastAsia"/>
          <w:lang w:val="en-GB"/>
        </w:rPr>
        <w:t xml:space="preserve"> </w:t>
      </w:r>
      <w:r w:rsidR="00244AF4" w:rsidRPr="00244AF4">
        <w:rPr>
          <w:rFonts w:hint="eastAsia"/>
          <w:lang w:val="en-GB"/>
        </w:rPr>
        <w:t>而集会管理通常不应诉诸武力。任何使用武力必须符合必要性和相称性原则。必要性要求将武力类型和程度限制在情况必要的最低限度</w:t>
      </w:r>
      <w:r>
        <w:rPr>
          <w:rFonts w:hint="eastAsia"/>
          <w:lang w:val="en-GB"/>
        </w:rPr>
        <w:t>(</w:t>
      </w:r>
      <w:r w:rsidR="00244AF4" w:rsidRPr="00244AF4">
        <w:rPr>
          <w:rFonts w:hint="eastAsia"/>
          <w:lang w:val="en-GB"/>
        </w:rPr>
        <w:t>危害最小的手段</w:t>
      </w:r>
      <w:r>
        <w:rPr>
          <w:rFonts w:hint="eastAsia"/>
          <w:lang w:val="en-GB"/>
        </w:rPr>
        <w:t>)</w:t>
      </w:r>
      <w:r>
        <w:rPr>
          <w:rFonts w:hint="eastAsia"/>
          <w:lang w:val="en-GB"/>
        </w:rPr>
        <w:t>，</w:t>
      </w:r>
      <w:r w:rsidR="00244AF4" w:rsidRPr="00244AF4">
        <w:rPr>
          <w:rFonts w:hint="eastAsia"/>
          <w:lang w:val="en-GB"/>
        </w:rPr>
        <w:t>这是事实因果评估。任何的使用武力应针对使用暴力的个人或为了避免迫在眉睫的威胁。</w:t>
      </w:r>
    </w:p>
    <w:p w:rsidR="00244AF4" w:rsidRPr="00244AF4" w:rsidRDefault="004527D5" w:rsidP="00244AF4">
      <w:pPr>
        <w:pStyle w:val="SingleTxtGC"/>
      </w:pPr>
      <w:r>
        <w:t>58.</w:t>
      </w:r>
      <w:r w:rsidR="003C70F0">
        <w:t xml:space="preserve">  </w:t>
      </w:r>
      <w:r w:rsidR="00244AF4" w:rsidRPr="00244AF4">
        <w:rPr>
          <w:rFonts w:hint="eastAsia"/>
          <w:lang w:val="en-GB"/>
        </w:rPr>
        <w:t>相称性要求依据目标人员构成的危险制定使用武力的上限。这是一种平衡危害和益处的价值判断</w:t>
      </w:r>
      <w:r>
        <w:rPr>
          <w:rFonts w:hint="eastAsia"/>
          <w:lang w:val="en-GB"/>
        </w:rPr>
        <w:t>，</w:t>
      </w:r>
      <w:r w:rsidR="00244AF4" w:rsidRPr="00244AF4">
        <w:rPr>
          <w:rFonts w:hint="eastAsia"/>
          <w:lang w:val="en-GB"/>
        </w:rPr>
        <w:t>要求使用武力可能导致的危害相对于预期益处是相称且合理的。</w:t>
      </w:r>
    </w:p>
    <w:p w:rsidR="00244AF4" w:rsidRPr="00244AF4" w:rsidRDefault="004527D5" w:rsidP="00244AF4">
      <w:pPr>
        <w:pStyle w:val="SingleTxtGC"/>
      </w:pPr>
      <w:r>
        <w:t>59.</w:t>
      </w:r>
      <w:r w:rsidR="003C70F0">
        <w:t xml:space="preserve">  </w:t>
      </w:r>
      <w:r w:rsidR="00244AF4" w:rsidRPr="00244AF4">
        <w:rPr>
          <w:rFonts w:hint="eastAsia"/>
          <w:lang w:val="en-GB"/>
        </w:rPr>
        <w:t>必要性和相称性原则适用于所有武力的使用</w:t>
      </w:r>
      <w:r>
        <w:rPr>
          <w:rFonts w:hint="eastAsia"/>
          <w:lang w:val="en-GB"/>
        </w:rPr>
        <w:t>，</w:t>
      </w:r>
      <w:r w:rsidR="00244AF4" w:rsidRPr="00244AF4">
        <w:rPr>
          <w:rFonts w:hint="eastAsia"/>
          <w:lang w:val="en-GB"/>
        </w:rPr>
        <w:t>包括可能致命的武力。具体规则适用于执法人员以及在集会期间使用火器。</w:t>
      </w:r>
      <w:r w:rsidR="00244AF4" w:rsidRPr="006A5AF9">
        <w:rPr>
          <w:color w:val="0000FF"/>
          <w:vertAlign w:val="superscript"/>
          <w:lang w:val="en-GB"/>
        </w:rPr>
        <w:footnoteReference w:id="45"/>
      </w:r>
      <w:r>
        <w:rPr>
          <w:rFonts w:hint="eastAsia"/>
          <w:lang w:val="en-GB"/>
        </w:rPr>
        <w:t xml:space="preserve"> </w:t>
      </w:r>
      <w:r w:rsidR="00244AF4" w:rsidRPr="00244AF4">
        <w:rPr>
          <w:rFonts w:hint="eastAsia"/>
          <w:lang w:val="en-GB"/>
        </w:rPr>
        <w:t>只有面对迫在眉睫的威胁</w:t>
      </w:r>
      <w:r>
        <w:rPr>
          <w:rFonts w:hint="eastAsia"/>
          <w:lang w:val="en-GB"/>
        </w:rPr>
        <w:t>，</w:t>
      </w:r>
      <w:r w:rsidR="00244AF4" w:rsidRPr="00244AF4">
        <w:rPr>
          <w:rFonts w:hint="eastAsia"/>
          <w:lang w:val="en-GB"/>
        </w:rPr>
        <w:t>为保护生命或为防止危及生命的伤害</w:t>
      </w:r>
      <w:r>
        <w:rPr>
          <w:rFonts w:hint="eastAsia"/>
          <w:lang w:val="en-GB"/>
        </w:rPr>
        <w:t>(</w:t>
      </w:r>
      <w:r w:rsidR="00244AF4" w:rsidRPr="00244AF4">
        <w:rPr>
          <w:rFonts w:hint="eastAsia"/>
          <w:lang w:val="en-GB"/>
        </w:rPr>
        <w:t>使得使用武力符合相称性原则</w:t>
      </w:r>
      <w:r>
        <w:rPr>
          <w:rFonts w:hint="eastAsia"/>
          <w:lang w:val="en-GB"/>
        </w:rPr>
        <w:t>)</w:t>
      </w:r>
      <w:r w:rsidR="00244AF4" w:rsidRPr="00244AF4">
        <w:rPr>
          <w:rFonts w:hint="eastAsia"/>
          <w:lang w:val="en-GB"/>
        </w:rPr>
        <w:t>时方可使用火器。此外</w:t>
      </w:r>
      <w:r>
        <w:rPr>
          <w:rFonts w:hint="eastAsia"/>
          <w:lang w:val="en-GB"/>
        </w:rPr>
        <w:t>，</w:t>
      </w:r>
      <w:r w:rsidR="00244AF4" w:rsidRPr="00244AF4">
        <w:rPr>
          <w:rFonts w:hint="eastAsia"/>
          <w:lang w:val="en-GB"/>
        </w:rPr>
        <w:t>还必须没有其他可行选择</w:t>
      </w:r>
      <w:r>
        <w:rPr>
          <w:rFonts w:hint="eastAsia"/>
          <w:lang w:val="en-GB"/>
        </w:rPr>
        <w:t>，</w:t>
      </w:r>
      <w:r w:rsidR="00244AF4" w:rsidRPr="00244AF4">
        <w:rPr>
          <w:rFonts w:hint="eastAsia"/>
          <w:lang w:val="en-GB"/>
        </w:rPr>
        <w:t>如通过逮捕或使用非致命武力消除生命威胁</w:t>
      </w:r>
      <w:r>
        <w:rPr>
          <w:rFonts w:hint="eastAsia"/>
          <w:lang w:val="en-GB"/>
        </w:rPr>
        <w:t>(</w:t>
      </w:r>
      <w:r w:rsidR="00244AF4" w:rsidRPr="00244AF4">
        <w:rPr>
          <w:rFonts w:hint="eastAsia"/>
          <w:lang w:val="en-GB"/>
        </w:rPr>
        <w:t>使武力符合必要性原则</w:t>
      </w:r>
      <w:r>
        <w:rPr>
          <w:rFonts w:hint="eastAsia"/>
          <w:lang w:val="en-GB"/>
        </w:rPr>
        <w:t>)</w:t>
      </w:r>
      <w:r w:rsidR="00244AF4" w:rsidRPr="00244AF4">
        <w:rPr>
          <w:rFonts w:hint="eastAsia"/>
          <w:lang w:val="en-GB"/>
        </w:rPr>
        <w:t>。</w:t>
      </w:r>
    </w:p>
    <w:p w:rsidR="00244AF4" w:rsidRPr="00244AF4" w:rsidRDefault="004527D5" w:rsidP="00244AF4">
      <w:pPr>
        <w:pStyle w:val="SingleTxtGC"/>
      </w:pPr>
      <w:r>
        <w:t>60.</w:t>
      </w:r>
      <w:r w:rsidR="003C70F0">
        <w:t xml:space="preserve">  </w:t>
      </w:r>
      <w:r w:rsidR="00244AF4" w:rsidRPr="00244AF4">
        <w:rPr>
          <w:rFonts w:hint="eastAsia"/>
          <w:lang w:val="en-GB"/>
        </w:rPr>
        <w:t>不应仅仅为了驱散集会而使用火器</w:t>
      </w:r>
      <w:r>
        <w:rPr>
          <w:rFonts w:hint="eastAsia"/>
          <w:lang w:val="en-GB"/>
        </w:rPr>
        <w:t>；</w:t>
      </w:r>
      <w:r w:rsidR="00244AF4" w:rsidRPr="00244AF4">
        <w:rPr>
          <w:rFonts w:hint="eastAsia"/>
          <w:lang w:val="en-GB"/>
        </w:rPr>
        <w:t>任意向人群开火是非法的</w:t>
      </w:r>
      <w:r>
        <w:rPr>
          <w:rFonts w:hint="eastAsia"/>
          <w:lang w:val="en-GB"/>
        </w:rPr>
        <w:t>(</w:t>
      </w:r>
      <w:r w:rsidR="00244AF4" w:rsidRPr="00244AF4">
        <w:rPr>
          <w:rFonts w:hint="eastAsia"/>
          <w:lang w:val="en-GB"/>
        </w:rPr>
        <w:t>见</w:t>
      </w:r>
      <w:r>
        <w:rPr>
          <w:rFonts w:hint="eastAsia"/>
          <w:lang w:val="en-GB"/>
        </w:rPr>
        <w:t xml:space="preserve">A/HRC/ 26/36, </w:t>
      </w:r>
      <w:r w:rsidR="00244AF4" w:rsidRPr="00244AF4">
        <w:rPr>
          <w:rFonts w:hint="eastAsia"/>
          <w:lang w:val="en-GB"/>
        </w:rPr>
        <w:t>第</w:t>
      </w:r>
      <w:r>
        <w:rPr>
          <w:rFonts w:hint="eastAsia"/>
          <w:lang w:val="en-GB"/>
        </w:rPr>
        <w:t>75</w:t>
      </w:r>
      <w:r w:rsidR="00244AF4" w:rsidRPr="00244AF4">
        <w:rPr>
          <w:rFonts w:hint="eastAsia"/>
          <w:lang w:val="en-GB"/>
        </w:rPr>
        <w:t>段</w:t>
      </w:r>
      <w:r>
        <w:rPr>
          <w:rFonts w:hint="eastAsia"/>
          <w:lang w:val="en-GB"/>
        </w:rPr>
        <w:t>)</w:t>
      </w:r>
      <w:r w:rsidR="00244AF4" w:rsidRPr="00244AF4">
        <w:rPr>
          <w:rFonts w:hint="eastAsia"/>
          <w:lang w:val="en-GB"/>
        </w:rPr>
        <w:t>。只有为了保护他人生命不受迫在眉睫的威胁完全不可避免使用致命武力时</w:t>
      </w:r>
      <w:r>
        <w:rPr>
          <w:rFonts w:hint="eastAsia"/>
          <w:lang w:val="en-GB"/>
        </w:rPr>
        <w:t>，</w:t>
      </w:r>
      <w:r w:rsidR="00244AF4" w:rsidRPr="00244AF4">
        <w:rPr>
          <w:rFonts w:hint="eastAsia"/>
          <w:lang w:val="en-GB"/>
        </w:rPr>
        <w:t>有意使用致命武力才是合法的</w:t>
      </w:r>
      <w:r>
        <w:rPr>
          <w:rFonts w:hint="eastAsia"/>
          <w:lang w:val="en-GB"/>
        </w:rPr>
        <w:t>；</w:t>
      </w:r>
      <w:r w:rsidR="00244AF4" w:rsidRPr="00244AF4">
        <w:rPr>
          <w:rFonts w:hint="eastAsia"/>
          <w:lang w:val="en-GB"/>
        </w:rPr>
        <w:t>这一原则有时也被称作保护生命原则</w:t>
      </w:r>
      <w:r>
        <w:rPr>
          <w:rFonts w:hint="eastAsia"/>
          <w:lang w:val="en-GB"/>
        </w:rPr>
        <w:t>(</w:t>
      </w:r>
      <w:r w:rsidR="00244AF4" w:rsidRPr="00244AF4">
        <w:rPr>
          <w:rFonts w:hint="eastAsia"/>
          <w:lang w:val="en-GB"/>
        </w:rPr>
        <w:t>同上</w:t>
      </w:r>
      <w:r>
        <w:rPr>
          <w:rFonts w:hint="eastAsia"/>
          <w:lang w:val="en-GB"/>
        </w:rPr>
        <w:t>，</w:t>
      </w:r>
      <w:r w:rsidR="00244AF4" w:rsidRPr="00244AF4">
        <w:rPr>
          <w:rFonts w:hint="eastAsia"/>
          <w:lang w:val="en-GB"/>
        </w:rPr>
        <w:t>第</w:t>
      </w:r>
      <w:r>
        <w:rPr>
          <w:rFonts w:hint="eastAsia"/>
          <w:lang w:val="en-GB"/>
        </w:rPr>
        <w:t>70</w:t>
      </w:r>
      <w:r w:rsidR="00244AF4" w:rsidRPr="00244AF4">
        <w:rPr>
          <w:rFonts w:hint="eastAsia"/>
          <w:lang w:val="en-GB"/>
        </w:rPr>
        <w:t>段</w:t>
      </w:r>
      <w:r>
        <w:rPr>
          <w:rFonts w:hint="eastAsia"/>
          <w:lang w:val="en-GB"/>
        </w:rPr>
        <w:t>)</w:t>
      </w:r>
      <w:r w:rsidR="00244AF4" w:rsidRPr="00244AF4">
        <w:rPr>
          <w:rFonts w:hint="eastAsia"/>
          <w:lang w:val="en-GB"/>
        </w:rPr>
        <w:t>。</w:t>
      </w:r>
    </w:p>
    <w:p w:rsidR="00244AF4" w:rsidRPr="00244AF4" w:rsidRDefault="004527D5" w:rsidP="00244AF4">
      <w:pPr>
        <w:pStyle w:val="SingleTxtGC"/>
      </w:pPr>
      <w:r>
        <w:t>61.</w:t>
      </w:r>
      <w:r w:rsidR="003C70F0">
        <w:t xml:space="preserve">  </w:t>
      </w:r>
      <w:r w:rsidR="00244AF4" w:rsidRPr="00244AF4">
        <w:rPr>
          <w:rFonts w:hint="eastAsia"/>
          <w:lang w:val="en-GB"/>
        </w:rPr>
        <w:t>驱散集会可能违反言论自由权、和平集会自由权以及人身健全权。驱散集会还可能使参与者和执法部门之间的紧张局势升级。出于这些原因</w:t>
      </w:r>
      <w:r>
        <w:rPr>
          <w:rFonts w:hint="eastAsia"/>
          <w:lang w:val="en-GB"/>
        </w:rPr>
        <w:t>，</w:t>
      </w:r>
      <w:r w:rsidR="00244AF4" w:rsidRPr="00244AF4">
        <w:rPr>
          <w:rFonts w:hint="eastAsia"/>
          <w:lang w:val="en-GB"/>
        </w:rPr>
        <w:t>只有在确实</w:t>
      </w:r>
      <w:r w:rsidR="00244AF4" w:rsidRPr="00244AF4">
        <w:rPr>
          <w:rFonts w:hint="eastAsia"/>
          <w:lang w:val="en-GB"/>
        </w:rPr>
        <w:lastRenderedPageBreak/>
        <w:t>不可避免的情况下</w:t>
      </w:r>
      <w:r>
        <w:rPr>
          <w:rFonts w:hint="eastAsia"/>
          <w:lang w:val="en-GB"/>
        </w:rPr>
        <w:t>，</w:t>
      </w:r>
      <w:r w:rsidR="00244AF4" w:rsidRPr="00244AF4">
        <w:rPr>
          <w:rFonts w:hint="eastAsia"/>
          <w:lang w:val="en-GB"/>
        </w:rPr>
        <w:t>方可采用。例如</w:t>
      </w:r>
      <w:r>
        <w:rPr>
          <w:rFonts w:hint="eastAsia"/>
          <w:lang w:val="en-GB"/>
        </w:rPr>
        <w:t>，</w:t>
      </w:r>
      <w:r w:rsidR="00244AF4" w:rsidRPr="00244AF4">
        <w:rPr>
          <w:rFonts w:hint="eastAsia"/>
          <w:lang w:val="en-GB"/>
        </w:rPr>
        <w:t>如果发生严重和普遍的暴力</w:t>
      </w:r>
      <w:r>
        <w:rPr>
          <w:rFonts w:hint="eastAsia"/>
          <w:lang w:val="en-GB"/>
        </w:rPr>
        <w:t>，</w:t>
      </w:r>
      <w:r w:rsidR="00244AF4" w:rsidRPr="00244AF4">
        <w:rPr>
          <w:rFonts w:hint="eastAsia"/>
          <w:lang w:val="en-GB"/>
        </w:rPr>
        <w:t>并且对人身或财产安全有迫在眉睫的威胁时</w:t>
      </w:r>
      <w:r>
        <w:rPr>
          <w:rFonts w:hint="eastAsia"/>
          <w:lang w:val="en-GB"/>
        </w:rPr>
        <w:t>，</w:t>
      </w:r>
      <w:r w:rsidR="00244AF4" w:rsidRPr="00244AF4">
        <w:rPr>
          <w:rFonts w:hint="eastAsia"/>
          <w:lang w:val="en-GB"/>
        </w:rPr>
        <w:t>以及如果执法人员已采取一切合理措施为集会提供便利并保护参与者免受伤害的情况下</w:t>
      </w:r>
      <w:r>
        <w:rPr>
          <w:rFonts w:hint="eastAsia"/>
          <w:lang w:val="en-GB"/>
        </w:rPr>
        <w:t>，</w:t>
      </w:r>
      <w:r w:rsidR="00244AF4" w:rsidRPr="00244AF4">
        <w:rPr>
          <w:rFonts w:hint="eastAsia"/>
          <w:lang w:val="en-GB"/>
        </w:rPr>
        <w:t>可考虑进行驱散。在许可驱散前</w:t>
      </w:r>
      <w:r>
        <w:rPr>
          <w:rFonts w:hint="eastAsia"/>
          <w:lang w:val="en-GB"/>
        </w:rPr>
        <w:t>，</w:t>
      </w:r>
      <w:r w:rsidR="00244AF4" w:rsidRPr="00244AF4">
        <w:rPr>
          <w:rFonts w:hint="eastAsia"/>
          <w:lang w:val="en-GB"/>
        </w:rPr>
        <w:t>执法机构应设法确定暴力实施者并将其与集会主体隔离</w:t>
      </w:r>
      <w:r>
        <w:rPr>
          <w:rFonts w:hint="eastAsia"/>
          <w:lang w:val="en-GB"/>
        </w:rPr>
        <w:t>，</w:t>
      </w:r>
      <w:r w:rsidR="00244AF4" w:rsidRPr="00244AF4">
        <w:rPr>
          <w:rFonts w:hint="eastAsia"/>
          <w:lang w:val="en-GB"/>
        </w:rPr>
        <w:t>并对集会中的暴力实施者与其他人员加以区分。这可能使集会得以继续进行。</w:t>
      </w:r>
    </w:p>
    <w:p w:rsidR="00244AF4" w:rsidRPr="00244AF4" w:rsidRDefault="004527D5" w:rsidP="00244AF4">
      <w:pPr>
        <w:pStyle w:val="SingleTxtGC"/>
      </w:pPr>
      <w:r>
        <w:t>62.</w:t>
      </w:r>
      <w:r w:rsidR="003C70F0">
        <w:t xml:space="preserve">  </w:t>
      </w:r>
      <w:r w:rsidR="00244AF4" w:rsidRPr="00244AF4">
        <w:rPr>
          <w:rFonts w:hint="eastAsia"/>
          <w:lang w:val="en-GB"/>
        </w:rPr>
        <w:t>国际法只允许在极少数情况下可驱散和平集会。例如</w:t>
      </w:r>
      <w:r>
        <w:rPr>
          <w:rFonts w:hint="eastAsia"/>
          <w:lang w:val="en-GB"/>
        </w:rPr>
        <w:t>，</w:t>
      </w:r>
      <w:r w:rsidR="00244AF4" w:rsidRPr="00244AF4">
        <w:rPr>
          <w:rFonts w:hint="eastAsia"/>
          <w:lang w:val="en-GB"/>
        </w:rPr>
        <w:t>对违反《公民权利及政治权利国际公约》第二十条</w:t>
      </w:r>
      <w:r>
        <w:rPr>
          <w:rFonts w:hint="eastAsia"/>
          <w:lang w:val="en-GB"/>
        </w:rPr>
        <w:t>，</w:t>
      </w:r>
      <w:r w:rsidR="00244AF4" w:rsidRPr="00244AF4">
        <w:rPr>
          <w:rFonts w:hint="eastAsia"/>
          <w:lang w:val="en-GB"/>
        </w:rPr>
        <w:t>煽动歧视、敌视或暴力的和平集会</w:t>
      </w:r>
      <w:r>
        <w:rPr>
          <w:rFonts w:hint="eastAsia"/>
          <w:lang w:val="en-GB"/>
        </w:rPr>
        <w:t>，</w:t>
      </w:r>
      <w:r w:rsidR="00244AF4" w:rsidRPr="00244AF4">
        <w:rPr>
          <w:rFonts w:hint="eastAsia"/>
          <w:lang w:val="en-GB"/>
        </w:rPr>
        <w:t>如果侵犯性较小的区别对待管理手段无效</w:t>
      </w:r>
      <w:r>
        <w:rPr>
          <w:rFonts w:hint="eastAsia"/>
          <w:lang w:val="en-GB"/>
        </w:rPr>
        <w:t>，</w:t>
      </w:r>
      <w:r w:rsidR="00244AF4" w:rsidRPr="00244AF4">
        <w:rPr>
          <w:rFonts w:hint="eastAsia"/>
          <w:lang w:val="en-GB"/>
        </w:rPr>
        <w:t>可进行驱散。同样</w:t>
      </w:r>
      <w:r>
        <w:rPr>
          <w:rFonts w:hint="eastAsia"/>
          <w:lang w:val="en-GB"/>
        </w:rPr>
        <w:t>，</w:t>
      </w:r>
      <w:r w:rsidR="00244AF4" w:rsidRPr="00244AF4">
        <w:rPr>
          <w:rFonts w:hint="eastAsia"/>
          <w:lang w:val="en-GB"/>
        </w:rPr>
        <w:t>虽然集会仅对他人造成不便</w:t>
      </w:r>
      <w:r>
        <w:rPr>
          <w:rFonts w:hint="eastAsia"/>
          <w:lang w:val="en-GB"/>
        </w:rPr>
        <w:t>，</w:t>
      </w:r>
      <w:r w:rsidR="00244AF4" w:rsidRPr="006A5AF9">
        <w:rPr>
          <w:color w:val="0000FF"/>
          <w:vertAlign w:val="superscript"/>
          <w:lang w:val="en-GB"/>
        </w:rPr>
        <w:footnoteReference w:id="46"/>
      </w:r>
      <w:r>
        <w:rPr>
          <w:rFonts w:hint="eastAsia"/>
          <w:lang w:val="en-GB"/>
        </w:rPr>
        <w:t xml:space="preserve"> </w:t>
      </w:r>
      <w:r w:rsidR="00244AF4" w:rsidRPr="00244AF4">
        <w:rPr>
          <w:rFonts w:hint="eastAsia"/>
          <w:lang w:val="en-GB"/>
        </w:rPr>
        <w:t>或暂时中断车辆或行人交通的情况应予以容忍</w:t>
      </w:r>
      <w:r>
        <w:rPr>
          <w:rFonts w:hint="eastAsia"/>
          <w:lang w:val="en-GB"/>
        </w:rPr>
        <w:t>，</w:t>
      </w:r>
      <w:r w:rsidR="00244AF4" w:rsidRPr="00244AF4">
        <w:rPr>
          <w:rFonts w:hint="eastAsia"/>
          <w:lang w:val="en-GB"/>
        </w:rPr>
        <w:t>但如果集会阻碍获得基本服务</w:t>
      </w:r>
      <w:r>
        <w:rPr>
          <w:rFonts w:hint="eastAsia"/>
          <w:lang w:val="en-GB"/>
        </w:rPr>
        <w:t>，</w:t>
      </w:r>
      <w:r w:rsidR="00244AF4" w:rsidRPr="00244AF4">
        <w:rPr>
          <w:rFonts w:hint="eastAsia"/>
          <w:lang w:val="en-GB"/>
        </w:rPr>
        <w:t>如阻塞了医院的紧急入口</w:t>
      </w:r>
      <w:r>
        <w:rPr>
          <w:rFonts w:hint="eastAsia"/>
          <w:lang w:val="en-GB"/>
        </w:rPr>
        <w:t>，</w:t>
      </w:r>
      <w:r w:rsidR="00244AF4" w:rsidRPr="00244AF4">
        <w:rPr>
          <w:rFonts w:hint="eastAsia"/>
          <w:lang w:val="en-GB"/>
        </w:rPr>
        <w:t>或对交通或经济造成严重和持续的干扰</w:t>
      </w:r>
      <w:r>
        <w:rPr>
          <w:rFonts w:hint="eastAsia"/>
          <w:lang w:val="en-GB"/>
        </w:rPr>
        <w:t>，</w:t>
      </w:r>
      <w:r w:rsidR="00244AF4" w:rsidRPr="00244AF4">
        <w:rPr>
          <w:rFonts w:hint="eastAsia"/>
          <w:lang w:val="en-GB"/>
        </w:rPr>
        <w:t>如阻塞主要交通干道数天</w:t>
      </w:r>
      <w:r>
        <w:rPr>
          <w:rFonts w:hint="eastAsia"/>
          <w:lang w:val="en-GB"/>
        </w:rPr>
        <w:t>，</w:t>
      </w:r>
      <w:r w:rsidR="00244AF4" w:rsidRPr="00244AF4">
        <w:rPr>
          <w:rFonts w:hint="eastAsia"/>
          <w:lang w:val="en-GB"/>
        </w:rPr>
        <w:t>则驱散是正当的。未向主管部门通知集会不是驱散的依据。</w:t>
      </w:r>
    </w:p>
    <w:p w:rsidR="00244AF4" w:rsidRPr="00244AF4" w:rsidRDefault="004527D5" w:rsidP="00244AF4">
      <w:pPr>
        <w:pStyle w:val="SingleTxtGC"/>
      </w:pPr>
      <w:r>
        <w:t>63.</w:t>
      </w:r>
      <w:r w:rsidR="003C70F0">
        <w:t xml:space="preserve">  </w:t>
      </w:r>
      <w:r w:rsidR="00244AF4" w:rsidRPr="00244AF4">
        <w:rPr>
          <w:rFonts w:hint="eastAsia"/>
          <w:lang w:val="en-GB"/>
        </w:rPr>
        <w:t>只有掌握充分和准确的实地局势信息的政府主管部门或高级官员有权下达驱散命令。如果认为驱散是必要的</w:t>
      </w:r>
      <w:r>
        <w:rPr>
          <w:rFonts w:hint="eastAsia"/>
          <w:lang w:val="en-GB"/>
        </w:rPr>
        <w:t>，</w:t>
      </w:r>
      <w:r w:rsidR="00244AF4" w:rsidRPr="00244AF4">
        <w:rPr>
          <w:rFonts w:hint="eastAsia"/>
          <w:lang w:val="en-GB"/>
        </w:rPr>
        <w:t>应向集会和参与者进行明确和清晰的通报</w:t>
      </w:r>
      <w:r>
        <w:rPr>
          <w:rFonts w:hint="eastAsia"/>
          <w:lang w:val="en-GB"/>
        </w:rPr>
        <w:t>，</w:t>
      </w:r>
      <w:r w:rsidR="00244AF4" w:rsidRPr="00244AF4">
        <w:rPr>
          <w:rFonts w:hint="eastAsia"/>
          <w:lang w:val="en-GB"/>
        </w:rPr>
        <w:t>还应为自愿疏散流出合理时间。</w:t>
      </w:r>
      <w:r w:rsidR="00244AF4" w:rsidRPr="006A5AF9">
        <w:rPr>
          <w:color w:val="0000FF"/>
          <w:vertAlign w:val="superscript"/>
          <w:lang w:val="en-GB"/>
        </w:rPr>
        <w:footnoteReference w:id="47"/>
      </w:r>
      <w:r>
        <w:rPr>
          <w:rFonts w:hint="eastAsia"/>
          <w:lang w:val="en-GB"/>
        </w:rPr>
        <w:t xml:space="preserve"> </w:t>
      </w:r>
      <w:r w:rsidR="00244AF4" w:rsidRPr="00244AF4">
        <w:rPr>
          <w:rFonts w:hint="eastAsia"/>
          <w:lang w:val="en-GB"/>
        </w:rPr>
        <w:t>只有在集会参与者不疏散的情况下</w:t>
      </w:r>
      <w:r>
        <w:rPr>
          <w:rFonts w:hint="eastAsia"/>
          <w:lang w:val="en-GB"/>
        </w:rPr>
        <w:t>，</w:t>
      </w:r>
      <w:r w:rsidR="00244AF4" w:rsidRPr="00244AF4">
        <w:rPr>
          <w:rFonts w:hint="eastAsia"/>
          <w:lang w:val="en-GB"/>
        </w:rPr>
        <w:t>执法人员才可以采取进一步干预。</w:t>
      </w:r>
    </w:p>
    <w:p w:rsidR="00244AF4" w:rsidRPr="00244AF4" w:rsidRDefault="004527D5" w:rsidP="00244AF4">
      <w:pPr>
        <w:pStyle w:val="SingleTxtGC"/>
      </w:pPr>
      <w:r>
        <w:t>64.</w:t>
      </w:r>
      <w:r w:rsidR="003C70F0">
        <w:t xml:space="preserve">  </w:t>
      </w:r>
      <w:r w:rsidR="00244AF4" w:rsidRPr="00244AF4">
        <w:rPr>
          <w:rFonts w:hint="eastAsia"/>
          <w:lang w:val="en-GB"/>
        </w:rPr>
        <w:t>作为确保问责制的责任</w:t>
      </w:r>
      <w:r>
        <w:rPr>
          <w:rFonts w:hint="eastAsia"/>
          <w:lang w:val="en-GB"/>
        </w:rPr>
        <w:t>，</w:t>
      </w:r>
      <w:r w:rsidR="00244AF4" w:rsidRPr="00244AF4">
        <w:rPr>
          <w:rFonts w:hint="eastAsia"/>
          <w:lang w:val="en-GB"/>
        </w:rPr>
        <w:t>各国必须建立有效的报告和审查程序</w:t>
      </w:r>
      <w:r>
        <w:rPr>
          <w:rFonts w:hint="eastAsia"/>
          <w:lang w:val="en-GB"/>
        </w:rPr>
        <w:t>，</w:t>
      </w:r>
      <w:r w:rsidR="00244AF4" w:rsidRPr="00244AF4">
        <w:rPr>
          <w:rFonts w:hint="eastAsia"/>
          <w:lang w:val="en-GB"/>
        </w:rPr>
        <w:t>以处理集会期间可能发生的非法使用武力的相关事件。</w:t>
      </w:r>
      <w:r w:rsidR="00244AF4" w:rsidRPr="006A5AF9">
        <w:rPr>
          <w:color w:val="0000FF"/>
          <w:vertAlign w:val="superscript"/>
          <w:lang w:val="en-GB"/>
        </w:rPr>
        <w:footnoteReference w:id="48"/>
      </w:r>
    </w:p>
    <w:p w:rsidR="00244AF4" w:rsidRPr="00244AF4" w:rsidRDefault="004527D5" w:rsidP="00244AF4">
      <w:pPr>
        <w:pStyle w:val="SingleTxtGC"/>
      </w:pPr>
      <w:r>
        <w:t>65.</w:t>
      </w:r>
      <w:r w:rsidR="003C70F0">
        <w:t xml:space="preserve">  </w:t>
      </w:r>
      <w:r w:rsidR="00244AF4" w:rsidRPr="00244AF4">
        <w:rPr>
          <w:rFonts w:hint="eastAsia"/>
          <w:lang w:val="en-GB"/>
        </w:rPr>
        <w:t>必须建立明确和透明的指挥结构</w:t>
      </w:r>
      <w:r>
        <w:rPr>
          <w:rFonts w:hint="eastAsia"/>
          <w:lang w:val="en-GB"/>
        </w:rPr>
        <w:t>，</w:t>
      </w:r>
      <w:r w:rsidR="00244AF4" w:rsidRPr="00244AF4">
        <w:rPr>
          <w:rFonts w:hint="eastAsia"/>
          <w:lang w:val="en-GB"/>
        </w:rPr>
        <w:t>以尽量减少暴力或使用武力的风险</w:t>
      </w:r>
      <w:r>
        <w:rPr>
          <w:rFonts w:hint="eastAsia"/>
          <w:lang w:val="en-GB"/>
        </w:rPr>
        <w:t>，</w:t>
      </w:r>
      <w:r w:rsidR="00244AF4" w:rsidRPr="00244AF4">
        <w:rPr>
          <w:rFonts w:hint="eastAsia"/>
          <w:lang w:val="en-GB"/>
        </w:rPr>
        <w:t>并确保警察为非法行为或失职承担负责。</w:t>
      </w:r>
      <w:r w:rsidR="00244AF4" w:rsidRPr="006A5AF9">
        <w:rPr>
          <w:color w:val="0000FF"/>
          <w:vertAlign w:val="superscript"/>
          <w:lang w:val="en-GB"/>
        </w:rPr>
        <w:footnoteReference w:id="49"/>
      </w:r>
      <w:r>
        <w:rPr>
          <w:rFonts w:hint="eastAsia"/>
          <w:lang w:val="en-GB"/>
        </w:rPr>
        <w:t xml:space="preserve"> </w:t>
      </w:r>
      <w:r w:rsidR="00244AF4" w:rsidRPr="00244AF4">
        <w:rPr>
          <w:rFonts w:hint="eastAsia"/>
          <w:lang w:val="en-GB"/>
        </w:rPr>
        <w:t>还需要对各级指挥官所作决定进行适当存档。每一名执法人员都必须可被明确识别</w:t>
      </w:r>
      <w:r>
        <w:rPr>
          <w:rFonts w:hint="eastAsia"/>
          <w:lang w:val="en-GB"/>
        </w:rPr>
        <w:t>，</w:t>
      </w:r>
      <w:r w:rsidR="00244AF4" w:rsidRPr="00244AF4">
        <w:rPr>
          <w:rFonts w:hint="eastAsia"/>
          <w:lang w:val="en-GB"/>
        </w:rPr>
        <w:t>例如佩戴名牌或编号。此外</w:t>
      </w:r>
      <w:r>
        <w:rPr>
          <w:rFonts w:hint="eastAsia"/>
          <w:lang w:val="en-GB"/>
        </w:rPr>
        <w:t>，</w:t>
      </w:r>
      <w:r w:rsidR="00244AF4" w:rsidRPr="00244AF4">
        <w:rPr>
          <w:rFonts w:hint="eastAsia"/>
          <w:lang w:val="en-GB"/>
        </w:rPr>
        <w:t>应建立明确的存档和登记制度</w:t>
      </w:r>
      <w:r>
        <w:rPr>
          <w:rFonts w:hint="eastAsia"/>
          <w:lang w:val="en-GB"/>
        </w:rPr>
        <w:t>，</w:t>
      </w:r>
      <w:r w:rsidR="00244AF4" w:rsidRPr="00244AF4">
        <w:rPr>
          <w:rFonts w:hint="eastAsia"/>
          <w:lang w:val="en-GB"/>
        </w:rPr>
        <w:t>记录提供给行动中每名警官的装备</w:t>
      </w:r>
      <w:r>
        <w:rPr>
          <w:rFonts w:hint="eastAsia"/>
          <w:lang w:val="en-GB"/>
        </w:rPr>
        <w:t>，</w:t>
      </w:r>
      <w:r w:rsidR="00244AF4" w:rsidRPr="00244AF4">
        <w:rPr>
          <w:rFonts w:hint="eastAsia"/>
          <w:lang w:val="en-GB"/>
        </w:rPr>
        <w:t>包括车辆、火器和弹药。</w:t>
      </w:r>
    </w:p>
    <w:p w:rsidR="004527D5" w:rsidRDefault="004527D5" w:rsidP="004527D5">
      <w:pPr>
        <w:pStyle w:val="SingleTxtGC"/>
        <w:rPr>
          <w:lang w:val="en-GB"/>
        </w:rPr>
      </w:pPr>
      <w:bookmarkStart w:id="33" w:name="_Ref314467960"/>
      <w:r>
        <w:t>66.</w:t>
      </w:r>
      <w:r w:rsidR="003C70F0">
        <w:t xml:space="preserve">  </w:t>
      </w:r>
      <w:bookmarkEnd w:id="33"/>
      <w:r w:rsidR="00244AF4" w:rsidRPr="00244AF4">
        <w:rPr>
          <w:rFonts w:hint="eastAsia"/>
          <w:lang w:val="en-GB"/>
        </w:rPr>
        <w:t>作为一项一般规则</w:t>
      </w:r>
      <w:r>
        <w:rPr>
          <w:rFonts w:hint="eastAsia"/>
          <w:lang w:val="en-GB"/>
        </w:rPr>
        <w:t>，</w:t>
      </w:r>
      <w:r w:rsidR="00244AF4" w:rsidRPr="00244AF4">
        <w:rPr>
          <w:rFonts w:hint="eastAsia"/>
          <w:lang w:val="en-GB"/>
        </w:rPr>
        <w:t>不应将军队用于集会治安。在必要的特殊情况下</w:t>
      </w:r>
      <w:r>
        <w:rPr>
          <w:rFonts w:hint="eastAsia"/>
          <w:lang w:val="en-GB"/>
        </w:rPr>
        <w:t>，</w:t>
      </w:r>
      <w:r w:rsidR="00244AF4" w:rsidRPr="00244AF4">
        <w:rPr>
          <w:rFonts w:hint="eastAsia"/>
          <w:lang w:val="en-GB"/>
        </w:rPr>
        <w:t>军队必须服从文职主管部门。</w:t>
      </w:r>
      <w:r w:rsidR="00244AF4" w:rsidRPr="006A5AF9">
        <w:rPr>
          <w:color w:val="0000FF"/>
          <w:vertAlign w:val="superscript"/>
          <w:lang w:val="en-GB"/>
        </w:rPr>
        <w:footnoteReference w:id="50"/>
      </w:r>
      <w:r>
        <w:rPr>
          <w:rFonts w:hint="eastAsia"/>
          <w:lang w:val="en-GB"/>
        </w:rPr>
        <w:t xml:space="preserve"> </w:t>
      </w:r>
      <w:r w:rsidR="00244AF4" w:rsidRPr="00244AF4">
        <w:rPr>
          <w:rFonts w:hint="eastAsia"/>
          <w:lang w:val="en-GB"/>
        </w:rPr>
        <w:t>军队也必须进行充分培训、采用并遵守国际人权法和原则</w:t>
      </w:r>
      <w:r>
        <w:rPr>
          <w:rFonts w:hint="eastAsia"/>
          <w:lang w:val="en-GB"/>
        </w:rPr>
        <w:t>，</w:t>
      </w:r>
      <w:r w:rsidR="00244AF4" w:rsidRPr="00244AF4">
        <w:rPr>
          <w:rFonts w:hint="eastAsia"/>
          <w:lang w:val="en-GB"/>
        </w:rPr>
        <w:t>以及任何执法政策、准则和道德</w:t>
      </w:r>
      <w:r>
        <w:rPr>
          <w:rFonts w:hint="eastAsia"/>
          <w:lang w:val="en-GB"/>
        </w:rPr>
        <w:t>，</w:t>
      </w:r>
      <w:r w:rsidR="00244AF4" w:rsidRPr="00244AF4">
        <w:rPr>
          <w:rFonts w:hint="eastAsia"/>
          <w:lang w:val="en-GB"/>
        </w:rPr>
        <w:t>并为之提供其他任何必要的设备和培训。为了遵守这些要求</w:t>
      </w:r>
      <w:r>
        <w:rPr>
          <w:rFonts w:hint="eastAsia"/>
          <w:lang w:val="en-GB"/>
        </w:rPr>
        <w:t>，</w:t>
      </w:r>
      <w:r w:rsidR="00244AF4" w:rsidRPr="00244AF4">
        <w:rPr>
          <w:rFonts w:hint="eastAsia"/>
          <w:lang w:val="en-GB"/>
        </w:rPr>
        <w:t>国家必须提前制定措施</w:t>
      </w:r>
      <w:r>
        <w:rPr>
          <w:rFonts w:hint="eastAsia"/>
          <w:lang w:val="en-GB"/>
        </w:rPr>
        <w:t>，</w:t>
      </w:r>
      <w:r w:rsidR="00244AF4" w:rsidRPr="00244AF4">
        <w:rPr>
          <w:rFonts w:hint="eastAsia"/>
          <w:lang w:val="en-GB"/>
        </w:rPr>
        <w:t>以备今后出现此类情况。</w:t>
      </w:r>
    </w:p>
    <w:p w:rsidR="004527D5" w:rsidRDefault="004527D5">
      <w:pPr>
        <w:tabs>
          <w:tab w:val="clear" w:pos="431"/>
        </w:tabs>
        <w:overflowPunct/>
        <w:adjustRightInd/>
        <w:snapToGrid/>
        <w:spacing w:line="240" w:lineRule="auto"/>
        <w:jc w:val="left"/>
        <w:rPr>
          <w:lang w:val="en-GB"/>
        </w:rPr>
      </w:pPr>
      <w:r>
        <w:rPr>
          <w:lang w:val="en-GB"/>
        </w:rPr>
        <w:br w:type="page"/>
      </w:r>
    </w:p>
    <w:p w:rsidR="00244AF4" w:rsidRPr="004527D5" w:rsidRDefault="004527D5" w:rsidP="00244AF4">
      <w:pPr>
        <w:pStyle w:val="SingleTxtGC"/>
        <w:rPr>
          <w:rFonts w:eastAsia="SimHei"/>
        </w:rPr>
      </w:pPr>
      <w:r>
        <w:rPr>
          <w:rFonts w:eastAsia="SimHei"/>
        </w:rPr>
        <w:lastRenderedPageBreak/>
        <w:t>67.</w:t>
      </w:r>
      <w:r w:rsidR="003C70F0" w:rsidRPr="004527D5">
        <w:rPr>
          <w:rFonts w:eastAsia="SimHei"/>
        </w:rPr>
        <w:t xml:space="preserve">  </w:t>
      </w:r>
      <w:r w:rsidR="00244AF4" w:rsidRPr="004527D5">
        <w:rPr>
          <w:rFonts w:eastAsia="SimHei"/>
          <w:bCs/>
          <w:lang w:val="en-GB"/>
        </w:rPr>
        <w:t>实用建议</w:t>
      </w:r>
      <w:r>
        <w:rPr>
          <w:rFonts w:eastAsia="SimHei"/>
          <w:bCs/>
          <w:lang w:val="en-GB"/>
        </w:rPr>
        <w:t>：</w:t>
      </w:r>
    </w:p>
    <w:p w:rsidR="00244AF4" w:rsidRPr="004527D5" w:rsidRDefault="00244AF4" w:rsidP="00244AF4">
      <w:pPr>
        <w:pStyle w:val="SingleTxtGC"/>
        <w:rPr>
          <w:rFonts w:eastAsia="SimHei"/>
          <w:bCs/>
        </w:rPr>
      </w:pPr>
      <w:r w:rsidRPr="004527D5">
        <w:rPr>
          <w:rFonts w:eastAsia="SimHei"/>
          <w:lang w:val="en-GB"/>
        </w:rPr>
        <w:tab/>
      </w:r>
      <w:r w:rsidR="004527D5">
        <w:rPr>
          <w:rFonts w:eastAsia="SimHei"/>
          <w:lang w:val="en-GB"/>
        </w:rPr>
        <w:t>(a)</w:t>
      </w:r>
      <w:r w:rsidRPr="004527D5">
        <w:rPr>
          <w:rFonts w:eastAsia="SimHei"/>
          <w:lang w:val="en-GB"/>
        </w:rPr>
        <w:tab/>
      </w:r>
      <w:r w:rsidRPr="004527D5">
        <w:rPr>
          <w:rFonts w:eastAsia="SimHei"/>
          <w:bCs/>
          <w:lang w:val="en-GB"/>
        </w:rPr>
        <w:t>各国应确保执法人员配有维持集会治安而尽可能不使用任何武力所必须的装备、培训和指示</w:t>
      </w:r>
      <w:r w:rsidR="004527D5">
        <w:rPr>
          <w:rFonts w:eastAsia="SimHei"/>
          <w:bCs/>
          <w:lang w:val="en-GB"/>
        </w:rPr>
        <w:t>；</w:t>
      </w:r>
    </w:p>
    <w:p w:rsidR="00244AF4" w:rsidRPr="004527D5" w:rsidRDefault="00244AF4" w:rsidP="00244AF4">
      <w:pPr>
        <w:pStyle w:val="SingleTxtGC"/>
        <w:rPr>
          <w:rFonts w:eastAsia="SimHei"/>
          <w:bCs/>
        </w:rPr>
      </w:pPr>
      <w:r w:rsidRPr="004527D5">
        <w:rPr>
          <w:rFonts w:eastAsia="SimHei"/>
          <w:lang w:val="en-GB"/>
        </w:rPr>
        <w:tab/>
      </w:r>
      <w:r w:rsidR="004527D5">
        <w:rPr>
          <w:rFonts w:eastAsia="SimHei"/>
          <w:lang w:val="en-GB"/>
        </w:rPr>
        <w:t>(b)</w:t>
      </w:r>
      <w:r w:rsidRPr="004527D5">
        <w:rPr>
          <w:rFonts w:eastAsia="SimHei"/>
          <w:lang w:val="en-GB"/>
        </w:rPr>
        <w:tab/>
      </w:r>
      <w:r w:rsidRPr="004527D5">
        <w:rPr>
          <w:rFonts w:eastAsia="SimHei"/>
          <w:bCs/>
          <w:lang w:val="en-GB"/>
        </w:rPr>
        <w:t>集会治安的战术行动应强调以沟通、谈判和接触为基础的缓和战术。执法人员的培训应包括在课堂和基于实际场景环境下的任务前和任务中的指示</w:t>
      </w:r>
      <w:r w:rsidR="004527D5">
        <w:rPr>
          <w:rFonts w:eastAsia="SimHei"/>
          <w:bCs/>
          <w:lang w:val="en-GB"/>
        </w:rPr>
        <w:t>；</w:t>
      </w:r>
    </w:p>
    <w:p w:rsidR="00244AF4" w:rsidRPr="004527D5" w:rsidRDefault="00244AF4" w:rsidP="00244AF4">
      <w:pPr>
        <w:pStyle w:val="SingleTxtGC"/>
        <w:rPr>
          <w:rFonts w:eastAsia="SimHei"/>
          <w:bCs/>
        </w:rPr>
      </w:pPr>
      <w:r w:rsidRPr="004527D5">
        <w:rPr>
          <w:rFonts w:eastAsia="SimHei"/>
          <w:lang w:val="en-GB"/>
        </w:rPr>
        <w:tab/>
      </w:r>
      <w:r w:rsidR="004527D5">
        <w:rPr>
          <w:rFonts w:eastAsia="SimHei"/>
          <w:lang w:val="en-GB"/>
        </w:rPr>
        <w:t>(c)</w:t>
      </w:r>
      <w:r w:rsidRPr="004527D5">
        <w:rPr>
          <w:rFonts w:eastAsia="SimHei"/>
          <w:lang w:val="en-GB"/>
        </w:rPr>
        <w:tab/>
      </w:r>
      <w:r w:rsidRPr="004527D5">
        <w:rPr>
          <w:rFonts w:eastAsia="SimHei"/>
          <w:bCs/>
          <w:lang w:val="en-GB"/>
        </w:rPr>
        <w:t>在执法机构挑选和采购用于集会的装备</w:t>
      </w:r>
      <w:r w:rsidR="004527D5">
        <w:rPr>
          <w:rFonts w:eastAsia="SimHei"/>
          <w:bCs/>
          <w:lang w:val="en-GB"/>
        </w:rPr>
        <w:t>(</w:t>
      </w:r>
      <w:r w:rsidRPr="004527D5">
        <w:rPr>
          <w:rFonts w:eastAsia="SimHei"/>
          <w:bCs/>
          <w:lang w:val="en-GB"/>
        </w:rPr>
        <w:t>包括低致命性武器</w:t>
      </w:r>
      <w:r w:rsidR="004527D5">
        <w:rPr>
          <w:rFonts w:eastAsia="SimHei"/>
          <w:bCs/>
          <w:lang w:val="en-GB"/>
        </w:rPr>
        <w:t>)</w:t>
      </w:r>
      <w:r w:rsidRPr="004527D5">
        <w:rPr>
          <w:rFonts w:eastAsia="SimHei"/>
          <w:bCs/>
          <w:lang w:val="en-GB"/>
        </w:rPr>
        <w:t>前</w:t>
      </w:r>
      <w:r w:rsidR="004527D5">
        <w:rPr>
          <w:rFonts w:eastAsia="SimHei"/>
          <w:bCs/>
          <w:lang w:val="en-GB"/>
        </w:rPr>
        <w:t>，</w:t>
      </w:r>
      <w:r w:rsidRPr="004527D5">
        <w:rPr>
          <w:rFonts w:eastAsia="SimHei"/>
          <w:bCs/>
          <w:lang w:val="en-GB"/>
        </w:rPr>
        <w:t>各国应对此种设备进行透明和独立的评估</w:t>
      </w:r>
      <w:r w:rsidR="004527D5">
        <w:rPr>
          <w:rFonts w:eastAsia="SimHei"/>
          <w:bCs/>
          <w:lang w:val="en-GB"/>
        </w:rPr>
        <w:t>，</w:t>
      </w:r>
      <w:r w:rsidRPr="004527D5">
        <w:rPr>
          <w:rFonts w:eastAsia="SimHei"/>
          <w:bCs/>
          <w:lang w:val="en-GB"/>
        </w:rPr>
        <w:t>以确定遵守国际人权法律和标准。特别是</w:t>
      </w:r>
      <w:r w:rsidR="004527D5">
        <w:rPr>
          <w:rFonts w:eastAsia="SimHei"/>
          <w:bCs/>
          <w:lang w:val="en-GB"/>
        </w:rPr>
        <w:t>，</w:t>
      </w:r>
      <w:r w:rsidRPr="004527D5">
        <w:rPr>
          <w:rFonts w:eastAsia="SimHei"/>
          <w:bCs/>
          <w:lang w:val="en-GB"/>
        </w:rPr>
        <w:t>应当评估装备的精确度、可靠性和尽量减少身心伤害的能力。只有具备有效培训警察恰当使用装备的充分能力时</w:t>
      </w:r>
      <w:r w:rsidR="004527D5">
        <w:rPr>
          <w:rFonts w:eastAsia="SimHei"/>
          <w:bCs/>
          <w:lang w:val="en-GB"/>
        </w:rPr>
        <w:t>，</w:t>
      </w:r>
      <w:r w:rsidRPr="004527D5">
        <w:rPr>
          <w:rFonts w:eastAsia="SimHei"/>
          <w:bCs/>
          <w:lang w:val="en-GB"/>
        </w:rPr>
        <w:t>才应该进行采购</w:t>
      </w:r>
      <w:r w:rsidR="004527D5">
        <w:rPr>
          <w:rFonts w:eastAsia="SimHei"/>
          <w:bCs/>
          <w:lang w:val="en-GB"/>
        </w:rPr>
        <w:t>；</w:t>
      </w:r>
    </w:p>
    <w:p w:rsidR="00244AF4" w:rsidRPr="004527D5" w:rsidRDefault="00244AF4" w:rsidP="00244AF4">
      <w:pPr>
        <w:pStyle w:val="SingleTxtGC"/>
        <w:rPr>
          <w:rFonts w:eastAsia="SimHei"/>
          <w:bCs/>
        </w:rPr>
      </w:pPr>
      <w:r w:rsidRPr="004527D5">
        <w:rPr>
          <w:rFonts w:eastAsia="SimHei"/>
          <w:lang w:val="en-GB"/>
        </w:rPr>
        <w:tab/>
      </w:r>
      <w:r w:rsidR="004527D5">
        <w:rPr>
          <w:rFonts w:eastAsia="SimHei"/>
          <w:lang w:val="en-GB"/>
        </w:rPr>
        <w:t>(d)</w:t>
      </w:r>
      <w:r w:rsidRPr="004527D5">
        <w:rPr>
          <w:rFonts w:eastAsia="SimHei"/>
          <w:lang w:val="en-GB"/>
        </w:rPr>
        <w:tab/>
      </w:r>
      <w:r w:rsidRPr="004527D5">
        <w:rPr>
          <w:rFonts w:eastAsia="SimHei"/>
          <w:bCs/>
          <w:lang w:val="en-GB"/>
        </w:rPr>
        <w:t>应制定和公开传播具体的条例和详细的行动准则</w:t>
      </w:r>
      <w:r w:rsidR="004527D5">
        <w:rPr>
          <w:rFonts w:eastAsia="SimHei"/>
          <w:bCs/>
          <w:lang w:val="en-GB"/>
        </w:rPr>
        <w:t>，</w:t>
      </w:r>
      <w:r w:rsidRPr="004527D5">
        <w:rPr>
          <w:rFonts w:eastAsia="SimHei"/>
          <w:bCs/>
          <w:lang w:val="en-GB"/>
        </w:rPr>
        <w:t>为集会中战术行动选择的使用提供指导</w:t>
      </w:r>
      <w:r w:rsidR="004527D5">
        <w:rPr>
          <w:rFonts w:eastAsia="SimHei"/>
          <w:bCs/>
          <w:lang w:val="en-GB"/>
        </w:rPr>
        <w:t>，</w:t>
      </w:r>
      <w:r w:rsidRPr="004527D5">
        <w:rPr>
          <w:rFonts w:eastAsia="SimHei"/>
          <w:bCs/>
          <w:lang w:val="en-GB"/>
        </w:rPr>
        <w:t>包括武器的使用</w:t>
      </w:r>
      <w:r w:rsidR="004527D5">
        <w:rPr>
          <w:rFonts w:eastAsia="SimHei"/>
          <w:bCs/>
          <w:lang w:val="en-GB"/>
        </w:rPr>
        <w:t>，</w:t>
      </w:r>
      <w:r w:rsidRPr="004527D5">
        <w:rPr>
          <w:rFonts w:eastAsia="SimHei"/>
          <w:bCs/>
          <w:lang w:val="en-GB"/>
        </w:rPr>
        <w:t>武器</w:t>
      </w:r>
      <w:r w:rsidR="004527D5">
        <w:rPr>
          <w:rFonts w:eastAsia="SimHei"/>
          <w:bCs/>
          <w:lang w:val="en-GB"/>
        </w:rPr>
        <w:t>(</w:t>
      </w:r>
      <w:r w:rsidRPr="004527D5">
        <w:rPr>
          <w:rFonts w:eastAsia="SimHei"/>
          <w:bCs/>
          <w:lang w:val="en-GB"/>
        </w:rPr>
        <w:t>如催泪瓦斯</w:t>
      </w:r>
      <w:r w:rsidR="004527D5">
        <w:rPr>
          <w:rFonts w:eastAsia="SimHei"/>
          <w:bCs/>
          <w:lang w:val="en-GB"/>
        </w:rPr>
        <w:t>，</w:t>
      </w:r>
      <w:r w:rsidRPr="004527D5">
        <w:rPr>
          <w:rFonts w:eastAsia="SimHei"/>
          <w:bCs/>
          <w:lang w:val="en-GB"/>
        </w:rPr>
        <w:t>水炮</w:t>
      </w:r>
      <w:r w:rsidR="004527D5">
        <w:rPr>
          <w:rFonts w:eastAsia="SimHei"/>
          <w:bCs/>
          <w:lang w:val="en-GB"/>
        </w:rPr>
        <w:t>)</w:t>
      </w:r>
      <w:r w:rsidRPr="004527D5">
        <w:rPr>
          <w:rFonts w:eastAsia="SimHei"/>
          <w:bCs/>
          <w:lang w:val="en-GB"/>
        </w:rPr>
        <w:t>本身的设计往往是不加区别的。培训必须包括在人群中合法和适当地使用低致命性装备。执法人员也应得到有关防护装备的适当培训并得到明确指示</w:t>
      </w:r>
      <w:r w:rsidR="004527D5">
        <w:rPr>
          <w:rFonts w:eastAsia="SimHei"/>
          <w:bCs/>
          <w:lang w:val="en-GB"/>
        </w:rPr>
        <w:t>，</w:t>
      </w:r>
      <w:r w:rsidRPr="004527D5">
        <w:rPr>
          <w:rFonts w:eastAsia="SimHei"/>
          <w:bCs/>
          <w:lang w:val="en-GB"/>
        </w:rPr>
        <w:t>这些设备应完全用作防御工具。各国应监测在预防滥用或误用武器和战术行动方面的培训的有效性</w:t>
      </w:r>
      <w:r w:rsidR="004527D5">
        <w:rPr>
          <w:rFonts w:eastAsia="SimHei"/>
          <w:bCs/>
          <w:lang w:val="en-GB"/>
        </w:rPr>
        <w:t>；</w:t>
      </w:r>
    </w:p>
    <w:p w:rsidR="00244AF4" w:rsidRPr="004527D5" w:rsidRDefault="00244AF4" w:rsidP="00244AF4">
      <w:pPr>
        <w:pStyle w:val="SingleTxtGC"/>
        <w:rPr>
          <w:rFonts w:eastAsia="SimHei"/>
          <w:bCs/>
          <w:i/>
        </w:rPr>
      </w:pPr>
      <w:r w:rsidRPr="004527D5">
        <w:rPr>
          <w:rFonts w:eastAsia="SimHei"/>
          <w:lang w:val="en-GB"/>
        </w:rPr>
        <w:tab/>
      </w:r>
      <w:r w:rsidR="004527D5">
        <w:rPr>
          <w:rFonts w:eastAsia="SimHei"/>
          <w:lang w:val="en-GB"/>
        </w:rPr>
        <w:t>(e)</w:t>
      </w:r>
      <w:r w:rsidRPr="004527D5">
        <w:rPr>
          <w:rFonts w:eastAsia="SimHei"/>
          <w:lang w:val="en-GB"/>
        </w:rPr>
        <w:tab/>
      </w:r>
      <w:r w:rsidRPr="004527D5">
        <w:rPr>
          <w:rFonts w:eastAsia="SimHei"/>
          <w:bCs/>
          <w:lang w:val="en-GB"/>
        </w:rPr>
        <w:t>在任何情况下</w:t>
      </w:r>
      <w:r w:rsidR="004527D5">
        <w:rPr>
          <w:rFonts w:eastAsia="SimHei"/>
          <w:bCs/>
          <w:lang w:val="en-GB"/>
        </w:rPr>
        <w:t>，</w:t>
      </w:r>
      <w:r w:rsidRPr="004527D5">
        <w:rPr>
          <w:rFonts w:eastAsia="SimHei"/>
          <w:bCs/>
          <w:lang w:val="en-GB"/>
        </w:rPr>
        <w:t>自动火器都不应用于集会治安</w:t>
      </w:r>
      <w:r w:rsidR="004527D5">
        <w:rPr>
          <w:rFonts w:eastAsia="SimHei"/>
          <w:bCs/>
          <w:lang w:val="en-GB"/>
        </w:rPr>
        <w:t>；</w:t>
      </w:r>
    </w:p>
    <w:p w:rsidR="00244AF4" w:rsidRPr="004527D5" w:rsidRDefault="00244AF4" w:rsidP="00244AF4">
      <w:pPr>
        <w:pStyle w:val="SingleTxtGC"/>
        <w:rPr>
          <w:rFonts w:eastAsia="SimHei"/>
          <w:bCs/>
        </w:rPr>
      </w:pPr>
      <w:r w:rsidRPr="004527D5">
        <w:rPr>
          <w:rFonts w:eastAsia="SimHei"/>
          <w:lang w:val="en-GB"/>
        </w:rPr>
        <w:tab/>
      </w:r>
      <w:r w:rsidR="004527D5">
        <w:rPr>
          <w:rFonts w:eastAsia="SimHei"/>
          <w:lang w:val="en-GB"/>
        </w:rPr>
        <w:t>(f)</w:t>
      </w:r>
      <w:r w:rsidRPr="004527D5">
        <w:rPr>
          <w:rFonts w:eastAsia="SimHei"/>
          <w:lang w:val="en-GB"/>
        </w:rPr>
        <w:tab/>
      </w:r>
      <w:r w:rsidRPr="004527D5">
        <w:rPr>
          <w:rFonts w:eastAsia="SimHei"/>
          <w:bCs/>
          <w:lang w:val="en-GB"/>
        </w:rPr>
        <w:t>应禁止使用不需要实际人员控制的自主武器系统</w:t>
      </w:r>
      <w:r w:rsidR="004527D5">
        <w:rPr>
          <w:rFonts w:eastAsia="SimHei"/>
          <w:bCs/>
          <w:lang w:val="en-GB"/>
        </w:rPr>
        <w:t>，</w:t>
      </w:r>
      <w:r w:rsidRPr="004527D5">
        <w:rPr>
          <w:rFonts w:eastAsia="SimHei"/>
          <w:bCs/>
          <w:lang w:val="en-GB"/>
        </w:rPr>
        <w:t>并应以最谨慎的态度使用遥控武力</w:t>
      </w:r>
      <w:r w:rsidR="004527D5">
        <w:rPr>
          <w:rFonts w:eastAsia="SimHei"/>
          <w:bCs/>
          <w:lang w:val="en-GB"/>
        </w:rPr>
        <w:t>；</w:t>
      </w:r>
    </w:p>
    <w:p w:rsidR="00244AF4" w:rsidRPr="004527D5" w:rsidRDefault="00244AF4" w:rsidP="00244AF4">
      <w:pPr>
        <w:pStyle w:val="SingleTxtGC"/>
        <w:rPr>
          <w:rFonts w:eastAsia="SimHei"/>
          <w:bCs/>
        </w:rPr>
      </w:pPr>
      <w:r w:rsidRPr="004527D5">
        <w:rPr>
          <w:rFonts w:eastAsia="SimHei"/>
          <w:lang w:val="en-GB"/>
        </w:rPr>
        <w:tab/>
      </w:r>
      <w:r w:rsidR="004527D5">
        <w:rPr>
          <w:rFonts w:eastAsia="SimHei"/>
          <w:lang w:val="en-GB"/>
        </w:rPr>
        <w:t>(g)</w:t>
      </w:r>
      <w:r w:rsidRPr="004527D5">
        <w:rPr>
          <w:rFonts w:eastAsia="SimHei"/>
          <w:lang w:val="en-GB"/>
        </w:rPr>
        <w:tab/>
      </w:r>
      <w:r w:rsidRPr="004527D5">
        <w:rPr>
          <w:rFonts w:eastAsia="SimHei"/>
          <w:bCs/>
          <w:lang w:val="en-GB"/>
        </w:rPr>
        <w:t>各国应按照国际人权法律和原则制定有关驱散集会的全面准则。这些准则应予公布并为执法人员提供实际指导</w:t>
      </w:r>
      <w:r w:rsidR="004527D5">
        <w:rPr>
          <w:rFonts w:eastAsia="SimHei"/>
          <w:bCs/>
          <w:lang w:val="en-GB"/>
        </w:rPr>
        <w:t>，</w:t>
      </w:r>
      <w:r w:rsidRPr="004527D5">
        <w:rPr>
          <w:rFonts w:eastAsia="SimHei"/>
          <w:bCs/>
          <w:lang w:val="en-GB"/>
        </w:rPr>
        <w:t>详细说明需要驱散的情况、做出驱散</w:t>
      </w:r>
      <w:r w:rsidR="004527D5">
        <w:rPr>
          <w:rFonts w:eastAsia="SimHei"/>
          <w:bCs/>
          <w:lang w:val="en-GB"/>
        </w:rPr>
        <w:t>(</w:t>
      </w:r>
      <w:r w:rsidRPr="004527D5">
        <w:rPr>
          <w:rFonts w:eastAsia="SimHei"/>
          <w:bCs/>
          <w:lang w:val="en-GB"/>
        </w:rPr>
        <w:t>包括缓和措施</w:t>
      </w:r>
      <w:r w:rsidR="004527D5">
        <w:rPr>
          <w:rFonts w:eastAsia="SimHei"/>
          <w:bCs/>
          <w:lang w:val="en-GB"/>
        </w:rPr>
        <w:t>)</w:t>
      </w:r>
      <w:r w:rsidRPr="004527D5">
        <w:rPr>
          <w:rFonts w:eastAsia="SimHei"/>
          <w:bCs/>
          <w:lang w:val="en-GB"/>
        </w:rPr>
        <w:t>决定前应采取的一切必要步骤</w:t>
      </w:r>
      <w:r w:rsidR="004527D5">
        <w:rPr>
          <w:rFonts w:eastAsia="SimHei"/>
          <w:bCs/>
          <w:lang w:val="en-GB"/>
        </w:rPr>
        <w:t>，</w:t>
      </w:r>
      <w:r w:rsidRPr="004527D5">
        <w:rPr>
          <w:rFonts w:eastAsia="SimHei"/>
          <w:bCs/>
          <w:lang w:val="en-GB"/>
        </w:rPr>
        <w:t>以及哪些人员可以下达驱散命令</w:t>
      </w:r>
      <w:r w:rsidR="004527D5">
        <w:rPr>
          <w:rFonts w:eastAsia="SimHei"/>
          <w:bCs/>
          <w:lang w:val="en-GB"/>
        </w:rPr>
        <w:t>；</w:t>
      </w:r>
    </w:p>
    <w:p w:rsidR="00244AF4" w:rsidRPr="004527D5" w:rsidRDefault="00244AF4" w:rsidP="00244AF4">
      <w:pPr>
        <w:pStyle w:val="SingleTxtGC"/>
        <w:rPr>
          <w:rFonts w:eastAsia="SimHei"/>
          <w:bCs/>
        </w:rPr>
      </w:pPr>
      <w:r w:rsidRPr="004527D5">
        <w:rPr>
          <w:rFonts w:eastAsia="SimHei"/>
          <w:lang w:val="en-GB"/>
        </w:rPr>
        <w:tab/>
      </w:r>
      <w:r w:rsidR="004527D5">
        <w:rPr>
          <w:rFonts w:eastAsia="SimHei"/>
          <w:lang w:val="en-GB"/>
        </w:rPr>
        <w:t>(h)</w:t>
      </w:r>
      <w:r w:rsidRPr="004527D5">
        <w:rPr>
          <w:rFonts w:eastAsia="SimHei"/>
          <w:lang w:val="en-GB"/>
        </w:rPr>
        <w:tab/>
      </w:r>
      <w:r w:rsidRPr="004527D5">
        <w:rPr>
          <w:rFonts w:eastAsia="SimHei"/>
          <w:bCs/>
          <w:lang w:val="en-GB"/>
        </w:rPr>
        <w:t>国家必须制定有效的武力使用监测和报告制度</w:t>
      </w:r>
      <w:r w:rsidR="004527D5">
        <w:rPr>
          <w:rFonts w:eastAsia="SimHei"/>
          <w:bCs/>
          <w:lang w:val="en-GB"/>
        </w:rPr>
        <w:t>，</w:t>
      </w:r>
      <w:r w:rsidRPr="004527D5">
        <w:rPr>
          <w:rFonts w:eastAsia="SimHei"/>
          <w:bCs/>
          <w:lang w:val="en-GB"/>
        </w:rPr>
        <w:t>并且相关信息</w:t>
      </w:r>
      <w:r w:rsidR="004527D5">
        <w:rPr>
          <w:rFonts w:eastAsia="SimHei"/>
          <w:bCs/>
          <w:lang w:val="en-GB"/>
        </w:rPr>
        <w:t>，</w:t>
      </w:r>
      <w:r w:rsidRPr="004527D5">
        <w:rPr>
          <w:rFonts w:eastAsia="SimHei"/>
          <w:bCs/>
          <w:lang w:val="en-GB"/>
        </w:rPr>
        <w:t>包括有关何时针对何人使用武力的统计数字</w:t>
      </w:r>
      <w:r w:rsidR="004527D5">
        <w:rPr>
          <w:rFonts w:eastAsia="SimHei"/>
          <w:bCs/>
          <w:lang w:val="en-GB"/>
        </w:rPr>
        <w:t>，</w:t>
      </w:r>
      <w:r w:rsidRPr="004527D5">
        <w:rPr>
          <w:rFonts w:eastAsia="SimHei"/>
          <w:bCs/>
          <w:lang w:val="en-GB"/>
        </w:rPr>
        <w:t>必须便于公众查阅</w:t>
      </w:r>
      <w:r w:rsidR="004527D5">
        <w:rPr>
          <w:rFonts w:eastAsia="SimHei"/>
          <w:bCs/>
          <w:lang w:val="en-GB"/>
        </w:rPr>
        <w:t>；</w:t>
      </w:r>
    </w:p>
    <w:p w:rsidR="00244AF4" w:rsidRPr="004527D5" w:rsidRDefault="00244AF4" w:rsidP="00244AF4">
      <w:pPr>
        <w:pStyle w:val="SingleTxtGC"/>
        <w:rPr>
          <w:rFonts w:eastAsia="SimHei"/>
          <w:bCs/>
        </w:rPr>
      </w:pPr>
      <w:r w:rsidRPr="004527D5">
        <w:rPr>
          <w:rFonts w:eastAsia="SimHei"/>
          <w:lang w:val="en-GB"/>
        </w:rPr>
        <w:tab/>
      </w:r>
      <w:r w:rsidR="004527D5">
        <w:rPr>
          <w:rFonts w:eastAsia="SimHei"/>
          <w:lang w:val="en-GB"/>
        </w:rPr>
        <w:t>(</w:t>
      </w:r>
      <w:proofErr w:type="spellStart"/>
      <w:r w:rsidR="004527D5">
        <w:rPr>
          <w:rFonts w:eastAsia="SimHei"/>
          <w:lang w:val="en-GB"/>
        </w:rPr>
        <w:t>i</w:t>
      </w:r>
      <w:proofErr w:type="spellEnd"/>
      <w:r w:rsidR="004527D5">
        <w:rPr>
          <w:rFonts w:eastAsia="SimHei"/>
          <w:lang w:val="en-GB"/>
        </w:rPr>
        <w:t>)</w:t>
      </w:r>
      <w:r w:rsidRPr="004527D5">
        <w:rPr>
          <w:rFonts w:eastAsia="SimHei"/>
          <w:lang w:val="en-GB"/>
        </w:rPr>
        <w:tab/>
      </w:r>
      <w:r w:rsidRPr="004527D5">
        <w:rPr>
          <w:rFonts w:eastAsia="SimHei"/>
          <w:bCs/>
          <w:lang w:val="en-GB"/>
        </w:rPr>
        <w:t>联合国人权事务高级专员应召集一个专家组</w:t>
      </w:r>
      <w:r w:rsidR="004527D5">
        <w:rPr>
          <w:rFonts w:eastAsia="SimHei"/>
          <w:bCs/>
          <w:lang w:val="en-GB"/>
        </w:rPr>
        <w:t>，</w:t>
      </w:r>
      <w:r w:rsidRPr="004527D5">
        <w:rPr>
          <w:rFonts w:eastAsia="SimHei"/>
          <w:bCs/>
          <w:lang w:val="en-GB"/>
        </w:rPr>
        <w:t>审查低致命性武器和无人系统用于执法目的适用国际人权框架的情况</w:t>
      </w:r>
      <w:r w:rsidR="004527D5">
        <w:rPr>
          <w:rFonts w:eastAsia="SimHei"/>
          <w:bCs/>
          <w:lang w:val="en-GB"/>
        </w:rPr>
        <w:t>，</w:t>
      </w:r>
      <w:r w:rsidRPr="004527D5">
        <w:rPr>
          <w:rFonts w:eastAsia="SimHei"/>
          <w:bCs/>
          <w:lang w:val="en-GB"/>
        </w:rPr>
        <w:t>包括重点审查集会背景下的使用情况</w:t>
      </w:r>
      <w:r w:rsidR="004527D5">
        <w:rPr>
          <w:rFonts w:eastAsia="SimHei"/>
          <w:bCs/>
          <w:lang w:val="en-GB"/>
        </w:rPr>
        <w:t>；</w:t>
      </w:r>
    </w:p>
    <w:p w:rsidR="004527D5" w:rsidRDefault="00244AF4" w:rsidP="00244AF4">
      <w:pPr>
        <w:pStyle w:val="SingleTxtGC"/>
        <w:rPr>
          <w:rFonts w:eastAsia="SimHei"/>
          <w:bCs/>
          <w:lang w:val="en-GB"/>
        </w:rPr>
      </w:pPr>
      <w:r w:rsidRPr="004527D5">
        <w:rPr>
          <w:rFonts w:eastAsia="SimHei"/>
          <w:lang w:val="en-GB"/>
        </w:rPr>
        <w:tab/>
      </w:r>
      <w:r w:rsidR="004527D5">
        <w:rPr>
          <w:rFonts w:eastAsia="SimHei"/>
          <w:lang w:val="en-GB"/>
        </w:rPr>
        <w:t>(j)</w:t>
      </w:r>
      <w:r w:rsidRPr="004527D5">
        <w:rPr>
          <w:rFonts w:eastAsia="SimHei"/>
          <w:lang w:val="en-GB"/>
        </w:rPr>
        <w:tab/>
      </w:r>
      <w:r w:rsidRPr="004527D5">
        <w:rPr>
          <w:rFonts w:eastAsia="SimHei"/>
          <w:bCs/>
          <w:lang w:val="en-GB"/>
        </w:rPr>
        <w:t>如果在集会背景下</w:t>
      </w:r>
      <w:r w:rsidR="004527D5">
        <w:rPr>
          <w:rFonts w:eastAsia="SimHei"/>
          <w:bCs/>
          <w:lang w:val="en-GB"/>
        </w:rPr>
        <w:t>，</w:t>
      </w:r>
      <w:r w:rsidRPr="004527D5">
        <w:rPr>
          <w:rFonts w:eastAsia="SimHei"/>
          <w:bCs/>
          <w:lang w:val="en-GB"/>
        </w:rPr>
        <w:t>治安和人群管控装备</w:t>
      </w:r>
      <w:r w:rsidR="004527D5">
        <w:rPr>
          <w:rFonts w:eastAsia="SimHei"/>
          <w:bCs/>
          <w:lang w:val="en-GB"/>
        </w:rPr>
        <w:t>(</w:t>
      </w:r>
      <w:r w:rsidRPr="004527D5">
        <w:rPr>
          <w:rFonts w:eastAsia="SimHei"/>
          <w:bCs/>
          <w:lang w:val="en-GB"/>
        </w:rPr>
        <w:t>包括监测技术</w:t>
      </w:r>
      <w:r w:rsidR="004527D5">
        <w:rPr>
          <w:rFonts w:eastAsia="SimHei"/>
          <w:bCs/>
          <w:lang w:val="en-GB"/>
        </w:rPr>
        <w:t>)</w:t>
      </w:r>
      <w:r w:rsidRPr="004527D5">
        <w:rPr>
          <w:rFonts w:eastAsia="SimHei"/>
          <w:bCs/>
          <w:lang w:val="en-GB"/>
        </w:rPr>
        <w:t>极有可能导致非法杀害、酷刑或其他残忍、不人道或有辱人格的待遇或处罚</w:t>
      </w:r>
      <w:r w:rsidR="004527D5">
        <w:rPr>
          <w:rFonts w:eastAsia="SimHei"/>
          <w:bCs/>
          <w:lang w:val="en-GB"/>
        </w:rPr>
        <w:t>，</w:t>
      </w:r>
      <w:r w:rsidRPr="004527D5">
        <w:rPr>
          <w:rFonts w:eastAsia="SimHei"/>
          <w:bCs/>
          <w:lang w:val="en-GB"/>
        </w:rPr>
        <w:t>或其他侵犯或践踏人权的行为</w:t>
      </w:r>
      <w:r w:rsidR="004527D5">
        <w:rPr>
          <w:rFonts w:eastAsia="SimHei"/>
          <w:bCs/>
          <w:lang w:val="en-GB"/>
        </w:rPr>
        <w:t>，</w:t>
      </w:r>
      <w:r w:rsidRPr="004527D5">
        <w:rPr>
          <w:rFonts w:eastAsia="SimHei"/>
          <w:bCs/>
          <w:lang w:val="en-GB"/>
        </w:rPr>
        <w:t>在国家和国际两级应建立有效管控</w:t>
      </w:r>
      <w:r w:rsidR="004527D5">
        <w:rPr>
          <w:rFonts w:eastAsia="SimHei"/>
          <w:bCs/>
          <w:lang w:val="en-GB"/>
        </w:rPr>
        <w:t>，</w:t>
      </w:r>
      <w:r w:rsidRPr="004527D5">
        <w:rPr>
          <w:rFonts w:eastAsia="SimHei"/>
          <w:bCs/>
          <w:lang w:val="en-GB"/>
        </w:rPr>
        <w:t>禁止此类装备贸易。</w:t>
      </w:r>
    </w:p>
    <w:p w:rsidR="004527D5" w:rsidRDefault="004527D5">
      <w:pPr>
        <w:tabs>
          <w:tab w:val="clear" w:pos="431"/>
        </w:tabs>
        <w:overflowPunct/>
        <w:adjustRightInd/>
        <w:snapToGrid/>
        <w:spacing w:line="240" w:lineRule="auto"/>
        <w:jc w:val="left"/>
        <w:rPr>
          <w:rFonts w:eastAsia="SimHei"/>
          <w:bCs/>
          <w:lang w:val="en-GB"/>
        </w:rPr>
      </w:pPr>
      <w:r>
        <w:rPr>
          <w:rFonts w:eastAsia="SimHei"/>
          <w:bCs/>
          <w:lang w:val="en-GB"/>
        </w:rPr>
        <w:br w:type="page"/>
      </w:r>
    </w:p>
    <w:p w:rsidR="00244AF4" w:rsidRPr="004527D5" w:rsidRDefault="00244AF4" w:rsidP="004527D5">
      <w:pPr>
        <w:pStyle w:val="H1GC"/>
        <w:keepNext w:val="0"/>
        <w:keepLines w:val="0"/>
        <w:widowControl w:val="0"/>
        <w:rPr>
          <w:lang w:val="en-GB"/>
        </w:rPr>
      </w:pPr>
      <w:bookmarkStart w:id="34" w:name="_Toc309730746"/>
      <w:bookmarkStart w:id="35" w:name="_Toc309730881"/>
      <w:bookmarkStart w:id="36" w:name="_Toc437525376"/>
      <w:bookmarkStart w:id="37" w:name="_Toc437529850"/>
      <w:bookmarkStart w:id="38" w:name="_Toc440290943"/>
      <w:r w:rsidRPr="004527D5">
        <w:rPr>
          <w:lang w:val="en-GB"/>
        </w:rPr>
        <w:lastRenderedPageBreak/>
        <w:tab/>
      </w:r>
      <w:r w:rsidR="004527D5">
        <w:rPr>
          <w:lang w:val="en-GB"/>
        </w:rPr>
        <w:t>F</w:t>
      </w:r>
      <w:r w:rsidRPr="004527D5">
        <w:rPr>
          <w:lang w:val="en-GB"/>
        </w:rPr>
        <w:t>.</w:t>
      </w:r>
      <w:r w:rsidRPr="004527D5">
        <w:rPr>
          <w:lang w:val="en-GB"/>
        </w:rPr>
        <w:tab/>
      </w:r>
      <w:bookmarkEnd w:id="34"/>
      <w:bookmarkEnd w:id="35"/>
      <w:bookmarkEnd w:id="36"/>
      <w:bookmarkEnd w:id="37"/>
      <w:bookmarkEnd w:id="38"/>
      <w:r w:rsidRPr="004527D5">
        <w:rPr>
          <w:lang w:val="en-GB"/>
        </w:rPr>
        <w:t>人人享有观察、监测和记录集会的权利</w:t>
      </w:r>
    </w:p>
    <w:p w:rsidR="00244AF4" w:rsidRPr="0022563B" w:rsidRDefault="004527D5" w:rsidP="004527D5">
      <w:pPr>
        <w:pStyle w:val="SingleTxtGC"/>
        <w:widowControl w:val="0"/>
        <w:rPr>
          <w:rFonts w:eastAsiaTheme="minorEastAsia"/>
        </w:rPr>
      </w:pPr>
      <w:r w:rsidRPr="0022563B">
        <w:rPr>
          <w:rFonts w:eastAsiaTheme="minorEastAsia"/>
        </w:rPr>
        <w:t>68.</w:t>
      </w:r>
      <w:r w:rsidR="003C70F0" w:rsidRPr="0022563B">
        <w:rPr>
          <w:rFonts w:eastAsiaTheme="minorEastAsia"/>
        </w:rPr>
        <w:t xml:space="preserve">  </w:t>
      </w:r>
      <w:r w:rsidR="00244AF4" w:rsidRPr="0022563B">
        <w:rPr>
          <w:rFonts w:eastAsiaTheme="minorEastAsia"/>
          <w:lang w:val="en-GB"/>
        </w:rPr>
        <w:t>人人有权观察和</w:t>
      </w:r>
      <w:r w:rsidRPr="0022563B">
        <w:rPr>
          <w:rFonts w:eastAsiaTheme="minorEastAsia"/>
          <w:lang w:val="en-GB"/>
        </w:rPr>
        <w:t>(</w:t>
      </w:r>
      <w:r w:rsidR="00244AF4" w:rsidRPr="0022563B">
        <w:rPr>
          <w:rFonts w:eastAsiaTheme="minorEastAsia"/>
          <w:lang w:val="en-GB"/>
        </w:rPr>
        <w:t>引申开来</w:t>
      </w:r>
      <w:r w:rsidRPr="0022563B">
        <w:rPr>
          <w:rFonts w:eastAsiaTheme="minorEastAsia"/>
          <w:lang w:val="en-GB"/>
        </w:rPr>
        <w:t>)</w:t>
      </w:r>
      <w:r w:rsidR="00244AF4" w:rsidRPr="0022563B">
        <w:rPr>
          <w:rFonts w:eastAsiaTheme="minorEastAsia"/>
          <w:lang w:val="en-GB"/>
        </w:rPr>
        <w:t>监测集会。这一权利源于《公民权利和政治权利国际公约》第十九条第二款所保护的寻求和接收信息的权利。监测的概念不仅包含观察集会的行为</w:t>
      </w:r>
      <w:r w:rsidRPr="0022563B">
        <w:rPr>
          <w:rFonts w:eastAsiaTheme="minorEastAsia"/>
          <w:lang w:val="en-GB"/>
        </w:rPr>
        <w:t>，</w:t>
      </w:r>
      <w:r w:rsidR="00244AF4" w:rsidRPr="0022563B">
        <w:rPr>
          <w:rFonts w:eastAsiaTheme="minorEastAsia"/>
          <w:lang w:val="en-GB"/>
        </w:rPr>
        <w:t>还包含积极收集、核实和立即使用信息来处理人权问题。</w:t>
      </w:r>
      <w:r w:rsidR="00244AF4" w:rsidRPr="0022563B">
        <w:rPr>
          <w:rFonts w:eastAsiaTheme="minorEastAsia"/>
          <w:color w:val="0000FF"/>
          <w:vertAlign w:val="superscript"/>
          <w:lang w:val="en-GB"/>
        </w:rPr>
        <w:footnoteReference w:id="51"/>
      </w:r>
    </w:p>
    <w:p w:rsidR="00244AF4" w:rsidRPr="0022563B" w:rsidRDefault="004527D5" w:rsidP="00244AF4">
      <w:pPr>
        <w:pStyle w:val="SingleTxtGC"/>
        <w:rPr>
          <w:rFonts w:eastAsiaTheme="minorEastAsia"/>
          <w:spacing w:val="-4"/>
        </w:rPr>
      </w:pPr>
      <w:r w:rsidRPr="0022563B">
        <w:rPr>
          <w:rFonts w:eastAsiaTheme="minorEastAsia"/>
        </w:rPr>
        <w:t>69.</w:t>
      </w:r>
      <w:r w:rsidR="003C70F0" w:rsidRPr="0022563B">
        <w:rPr>
          <w:rFonts w:eastAsiaTheme="minorEastAsia"/>
        </w:rPr>
        <w:t xml:space="preserve">  </w:t>
      </w:r>
      <w:r w:rsidR="00244AF4" w:rsidRPr="0022563B">
        <w:rPr>
          <w:rFonts w:eastAsiaTheme="minorEastAsia"/>
          <w:lang w:val="en-GB"/>
        </w:rPr>
        <w:t>监测者通常被定义为不参与集会的第三方个人或团体</w:t>
      </w:r>
      <w:r w:rsidRPr="0022563B">
        <w:rPr>
          <w:rFonts w:eastAsiaTheme="minorEastAsia"/>
          <w:lang w:val="en-GB"/>
        </w:rPr>
        <w:t>，</w:t>
      </w:r>
      <w:r w:rsidR="00244AF4" w:rsidRPr="0022563B">
        <w:rPr>
          <w:rFonts w:eastAsiaTheme="minorEastAsia"/>
          <w:lang w:val="en-GB"/>
        </w:rPr>
        <w:t>其主要目的是观察并记录公众集会中发生的各项行动和活动。</w:t>
      </w:r>
      <w:r w:rsidR="00244AF4" w:rsidRPr="0022563B">
        <w:rPr>
          <w:rFonts w:eastAsiaTheme="minorEastAsia"/>
          <w:color w:val="0000FF"/>
          <w:vertAlign w:val="superscript"/>
          <w:lang w:val="en-GB"/>
        </w:rPr>
        <w:footnoteReference w:id="52"/>
      </w:r>
      <w:r w:rsidRPr="0022563B">
        <w:rPr>
          <w:rFonts w:eastAsiaTheme="minorEastAsia" w:hint="eastAsia"/>
          <w:lang w:val="en-GB"/>
        </w:rPr>
        <w:t xml:space="preserve"> </w:t>
      </w:r>
      <w:r w:rsidR="00244AF4" w:rsidRPr="0022563B">
        <w:rPr>
          <w:rFonts w:eastAsiaTheme="minorEastAsia"/>
          <w:lang w:val="en-GB"/>
        </w:rPr>
        <w:t>国家人权机构、监察员、政府间</w:t>
      </w:r>
      <w:r w:rsidR="00244AF4" w:rsidRPr="0022563B">
        <w:rPr>
          <w:rFonts w:eastAsiaTheme="minorEastAsia"/>
          <w:spacing w:val="-4"/>
          <w:lang w:val="en-GB"/>
        </w:rPr>
        <w:t>机构和民间社会组织通常都是监测员。记者</w:t>
      </w:r>
      <w:r w:rsidRPr="0022563B">
        <w:rPr>
          <w:rFonts w:eastAsiaTheme="minorEastAsia"/>
          <w:spacing w:val="-4"/>
          <w:lang w:val="en-GB"/>
        </w:rPr>
        <w:t>，</w:t>
      </w:r>
      <w:r w:rsidR="00244AF4" w:rsidRPr="0022563B">
        <w:rPr>
          <w:rFonts w:eastAsiaTheme="minorEastAsia"/>
          <w:spacing w:val="-4"/>
          <w:lang w:val="en-GB"/>
        </w:rPr>
        <w:t>包括公民记者</w:t>
      </w:r>
      <w:r w:rsidRPr="0022563B">
        <w:rPr>
          <w:rFonts w:eastAsiaTheme="minorEastAsia"/>
          <w:spacing w:val="-4"/>
          <w:lang w:val="en-GB"/>
        </w:rPr>
        <w:t>，</w:t>
      </w:r>
      <w:r w:rsidR="00244AF4" w:rsidRPr="0022563B">
        <w:rPr>
          <w:rFonts w:eastAsiaTheme="minorEastAsia"/>
          <w:spacing w:val="-4"/>
          <w:lang w:val="en-GB"/>
        </w:rPr>
        <w:t>发挥着重要作用。</w:t>
      </w:r>
      <w:r w:rsidR="00244AF4" w:rsidRPr="0022563B">
        <w:rPr>
          <w:rFonts w:eastAsiaTheme="minorEastAsia"/>
          <w:color w:val="0000FF"/>
          <w:spacing w:val="-4"/>
          <w:vertAlign w:val="superscript"/>
          <w:lang w:val="en-GB"/>
        </w:rPr>
        <w:footnoteReference w:id="53"/>
      </w:r>
    </w:p>
    <w:p w:rsidR="00244AF4" w:rsidRPr="0022563B" w:rsidRDefault="004527D5" w:rsidP="00244AF4">
      <w:pPr>
        <w:pStyle w:val="SingleTxtGC"/>
        <w:rPr>
          <w:rFonts w:eastAsiaTheme="minorEastAsia"/>
        </w:rPr>
      </w:pPr>
      <w:r w:rsidRPr="0022563B">
        <w:rPr>
          <w:rFonts w:eastAsiaTheme="minorEastAsia"/>
        </w:rPr>
        <w:t>70.</w:t>
      </w:r>
      <w:r w:rsidR="003C70F0" w:rsidRPr="0022563B">
        <w:rPr>
          <w:rFonts w:eastAsiaTheme="minorEastAsia"/>
        </w:rPr>
        <w:t xml:space="preserve">  </w:t>
      </w:r>
      <w:r w:rsidR="00244AF4" w:rsidRPr="0022563B">
        <w:rPr>
          <w:rFonts w:eastAsiaTheme="minorEastAsia"/>
          <w:lang w:val="en-GB"/>
        </w:rPr>
        <w:t>各国有义务保护集会监测者的权利。这包括尊重和便利观察和监测集会各个方面的权利</w:t>
      </w:r>
      <w:r w:rsidRPr="0022563B">
        <w:rPr>
          <w:rFonts w:eastAsiaTheme="minorEastAsia"/>
          <w:lang w:val="en-GB"/>
        </w:rPr>
        <w:t>，</w:t>
      </w:r>
      <w:r w:rsidR="00244AF4" w:rsidRPr="0022563B">
        <w:rPr>
          <w:rFonts w:eastAsiaTheme="minorEastAsia"/>
          <w:lang w:val="en-GB"/>
        </w:rPr>
        <w:t>但要受到《公民权利和政治权利国际公约》第十九条第三款概述的有限的许可的限制。监测者依然拥有其他各项人权。国家应充分调查侵犯或践踏检测者人权的行为</w:t>
      </w:r>
      <w:r w:rsidRPr="0022563B">
        <w:rPr>
          <w:rFonts w:eastAsiaTheme="minorEastAsia"/>
          <w:lang w:val="en-GB"/>
        </w:rPr>
        <w:t>，</w:t>
      </w:r>
      <w:r w:rsidR="00244AF4" w:rsidRPr="0022563B">
        <w:rPr>
          <w:rFonts w:eastAsiaTheme="minorEastAsia"/>
          <w:lang w:val="en-GB"/>
        </w:rPr>
        <w:t>并应进行起诉和提供充分补救。无论集会是否是和平的</w:t>
      </w:r>
      <w:r w:rsidRPr="0022563B">
        <w:rPr>
          <w:rFonts w:eastAsiaTheme="minorEastAsia"/>
          <w:lang w:val="en-GB"/>
        </w:rPr>
        <w:t>，</w:t>
      </w:r>
      <w:r w:rsidR="00244AF4" w:rsidRPr="0022563B">
        <w:rPr>
          <w:rFonts w:eastAsiaTheme="minorEastAsia"/>
          <w:lang w:val="en-GB"/>
        </w:rPr>
        <w:t>均应向监测者提供保护。</w:t>
      </w:r>
    </w:p>
    <w:p w:rsidR="00244AF4" w:rsidRPr="0022563B" w:rsidRDefault="004527D5" w:rsidP="0022563B">
      <w:pPr>
        <w:pStyle w:val="SingleTxtGC"/>
        <w:rPr>
          <w:rFonts w:eastAsiaTheme="minorEastAsia"/>
        </w:rPr>
      </w:pPr>
      <w:r w:rsidRPr="0022563B">
        <w:rPr>
          <w:rFonts w:eastAsiaTheme="minorEastAsia"/>
        </w:rPr>
        <w:t>71.</w:t>
      </w:r>
      <w:r w:rsidR="003C70F0" w:rsidRPr="0022563B">
        <w:rPr>
          <w:rFonts w:eastAsiaTheme="minorEastAsia"/>
        </w:rPr>
        <w:t xml:space="preserve">  </w:t>
      </w:r>
      <w:r w:rsidR="00244AF4" w:rsidRPr="0022563B">
        <w:rPr>
          <w:rFonts w:eastAsiaTheme="minorEastAsia"/>
          <w:lang w:val="en-GB"/>
        </w:rPr>
        <w:t>每个人</w:t>
      </w:r>
      <w:r w:rsidR="0022563B" w:rsidRPr="0022563B">
        <w:rPr>
          <w:rFonts w:eastAsiaTheme="minorEastAsia" w:hint="eastAsia"/>
          <w:spacing w:val="-50"/>
          <w:lang w:val="en-GB"/>
        </w:rPr>
        <w:t>―</w:t>
      </w:r>
      <w:r w:rsidR="0022563B" w:rsidRPr="0022563B">
        <w:rPr>
          <w:rFonts w:eastAsiaTheme="minorEastAsia" w:hint="eastAsia"/>
          <w:lang w:val="en-GB"/>
        </w:rPr>
        <w:t>―</w:t>
      </w:r>
      <w:r w:rsidR="00244AF4" w:rsidRPr="0022563B">
        <w:rPr>
          <w:rFonts w:eastAsiaTheme="minorEastAsia"/>
          <w:lang w:val="en-GB"/>
        </w:rPr>
        <w:t>无论是参与者、监测者或观察者</w:t>
      </w:r>
      <w:r w:rsidR="0022563B" w:rsidRPr="0022563B">
        <w:rPr>
          <w:rFonts w:eastAsiaTheme="minorEastAsia" w:hint="eastAsia"/>
          <w:spacing w:val="-50"/>
          <w:lang w:val="en-GB"/>
        </w:rPr>
        <w:t>―</w:t>
      </w:r>
      <w:r w:rsidR="0022563B" w:rsidRPr="0022563B">
        <w:rPr>
          <w:rFonts w:eastAsiaTheme="minorEastAsia" w:hint="eastAsia"/>
          <w:lang w:val="en-GB"/>
        </w:rPr>
        <w:t>―</w:t>
      </w:r>
      <w:r w:rsidR="00244AF4" w:rsidRPr="0022563B">
        <w:rPr>
          <w:rFonts w:eastAsiaTheme="minorEastAsia"/>
          <w:lang w:val="en-GB"/>
        </w:rPr>
        <w:t>均应享有记录集会的权利</w:t>
      </w:r>
      <w:r w:rsidRPr="0022563B">
        <w:rPr>
          <w:rFonts w:eastAsiaTheme="minorEastAsia"/>
          <w:lang w:val="en-GB"/>
        </w:rPr>
        <w:t>，</w:t>
      </w:r>
      <w:r w:rsidR="00244AF4" w:rsidRPr="0022563B">
        <w:rPr>
          <w:rFonts w:eastAsiaTheme="minorEastAsia"/>
          <w:lang w:val="en-GB"/>
        </w:rPr>
        <w:t>其中包括记录执法行动的权利。</w:t>
      </w:r>
      <w:r w:rsidR="00244AF4" w:rsidRPr="0022563B">
        <w:rPr>
          <w:rFonts w:eastAsiaTheme="minorEastAsia"/>
        </w:rPr>
        <w:t>还</w:t>
      </w:r>
      <w:r w:rsidR="00244AF4" w:rsidRPr="0022563B">
        <w:rPr>
          <w:rFonts w:eastAsiaTheme="minorEastAsia"/>
          <w:lang w:val="en-GB"/>
        </w:rPr>
        <w:t>包括有权记录国家人员对其进行记录的互动</w:t>
      </w:r>
      <w:r w:rsidR="0022563B" w:rsidRPr="0022563B">
        <w:rPr>
          <w:rFonts w:eastAsiaTheme="minorEastAsia" w:hint="eastAsia"/>
          <w:spacing w:val="-50"/>
          <w:lang w:val="en-GB"/>
        </w:rPr>
        <w:t>―</w:t>
      </w:r>
      <w:r w:rsidR="0022563B" w:rsidRPr="0022563B">
        <w:rPr>
          <w:rFonts w:eastAsiaTheme="minorEastAsia" w:hint="eastAsia"/>
          <w:lang w:val="en-GB"/>
        </w:rPr>
        <w:t>―</w:t>
      </w:r>
      <w:r w:rsidR="00244AF4" w:rsidRPr="0022563B">
        <w:rPr>
          <w:rFonts w:eastAsiaTheme="minorEastAsia"/>
          <w:lang w:val="en-GB"/>
        </w:rPr>
        <w:t>有时被称为</w:t>
      </w:r>
      <w:r w:rsidRPr="0022563B">
        <w:rPr>
          <w:rFonts w:eastAsiaTheme="minorEastAsia" w:hint="eastAsia"/>
          <w:lang w:val="en-GB"/>
        </w:rPr>
        <w:t>“</w:t>
      </w:r>
      <w:r w:rsidR="00244AF4" w:rsidRPr="0022563B">
        <w:rPr>
          <w:rFonts w:eastAsiaTheme="minorEastAsia"/>
          <w:lang w:val="en-GB"/>
        </w:rPr>
        <w:t>反向记录</w:t>
      </w:r>
      <w:r w:rsidRPr="0022563B">
        <w:rPr>
          <w:rFonts w:eastAsiaTheme="minorEastAsia" w:hint="eastAsia"/>
          <w:lang w:val="en-GB"/>
        </w:rPr>
        <w:t>”</w:t>
      </w:r>
      <w:r w:rsidR="00244AF4" w:rsidRPr="0022563B">
        <w:rPr>
          <w:rFonts w:eastAsiaTheme="minorEastAsia"/>
          <w:lang w:val="en-GB"/>
        </w:rPr>
        <w:t>。国家应保护这一权利。应禁止和惩处未经正当程没收、扣押和</w:t>
      </w:r>
      <w:r w:rsidRPr="0022563B">
        <w:rPr>
          <w:rFonts w:eastAsiaTheme="minorEastAsia"/>
          <w:lang w:val="en-GB"/>
        </w:rPr>
        <w:t>/</w:t>
      </w:r>
      <w:r w:rsidR="00244AF4" w:rsidRPr="0022563B">
        <w:rPr>
          <w:rFonts w:eastAsiaTheme="minorEastAsia"/>
          <w:lang w:val="en-GB"/>
        </w:rPr>
        <w:t>或销毁笔记及视频或音频录制设备的行为。</w:t>
      </w:r>
    </w:p>
    <w:p w:rsidR="00244AF4" w:rsidRPr="004527D5" w:rsidRDefault="004527D5" w:rsidP="00244AF4">
      <w:pPr>
        <w:pStyle w:val="SingleTxtGC"/>
        <w:rPr>
          <w:rFonts w:eastAsia="SimHei"/>
        </w:rPr>
      </w:pPr>
      <w:r>
        <w:rPr>
          <w:rFonts w:eastAsia="SimHei"/>
        </w:rPr>
        <w:t>72.</w:t>
      </w:r>
      <w:r w:rsidR="003C70F0" w:rsidRPr="004527D5">
        <w:rPr>
          <w:rFonts w:eastAsia="SimHei"/>
        </w:rPr>
        <w:t xml:space="preserve">  </w:t>
      </w:r>
      <w:r w:rsidR="00244AF4" w:rsidRPr="004527D5">
        <w:rPr>
          <w:rFonts w:eastAsia="SimHei"/>
          <w:bCs/>
          <w:lang w:val="en-GB"/>
        </w:rPr>
        <w:t>实用建议</w:t>
      </w:r>
      <w:r>
        <w:rPr>
          <w:rFonts w:eastAsia="SimHei"/>
          <w:bCs/>
          <w:lang w:val="en-GB"/>
        </w:rPr>
        <w:t>：</w:t>
      </w:r>
    </w:p>
    <w:p w:rsidR="00244AF4" w:rsidRPr="004527D5" w:rsidRDefault="00244AF4" w:rsidP="00244AF4">
      <w:pPr>
        <w:pStyle w:val="SingleTxtGC"/>
        <w:rPr>
          <w:rFonts w:eastAsia="SimHei"/>
          <w:bCs/>
        </w:rPr>
      </w:pPr>
      <w:r w:rsidRPr="004527D5">
        <w:rPr>
          <w:rFonts w:eastAsia="SimHei"/>
          <w:lang w:val="en-GB"/>
        </w:rPr>
        <w:tab/>
      </w:r>
      <w:r w:rsidR="004527D5">
        <w:rPr>
          <w:rFonts w:eastAsia="SimHei"/>
          <w:lang w:val="en-GB"/>
        </w:rPr>
        <w:t>(a)</w:t>
      </w:r>
      <w:r w:rsidRPr="004527D5">
        <w:rPr>
          <w:rFonts w:eastAsia="SimHei"/>
          <w:lang w:val="en-GB"/>
        </w:rPr>
        <w:tab/>
      </w:r>
      <w:r w:rsidRPr="004527D5">
        <w:rPr>
          <w:rFonts w:eastAsia="SimHei"/>
          <w:bCs/>
          <w:lang w:val="en-GB"/>
        </w:rPr>
        <w:t>各国应确保实施全面的共同参与战略</w:t>
      </w:r>
      <w:r w:rsidR="004527D5">
        <w:rPr>
          <w:rFonts w:eastAsia="SimHei"/>
          <w:bCs/>
          <w:lang w:val="en-GB"/>
        </w:rPr>
        <w:t>，</w:t>
      </w:r>
      <w:r w:rsidRPr="004527D5">
        <w:rPr>
          <w:rFonts w:eastAsia="SimHei"/>
          <w:bCs/>
          <w:lang w:val="en-GB"/>
        </w:rPr>
        <w:t>包括以在执法人员、新闻媒体和其他集会监测者之间建立信任和沟通为目的的方案和政策</w:t>
      </w:r>
      <w:r w:rsidR="004527D5">
        <w:rPr>
          <w:rFonts w:eastAsia="SimHei"/>
          <w:bCs/>
          <w:lang w:val="en-GB"/>
        </w:rPr>
        <w:t>；</w:t>
      </w:r>
    </w:p>
    <w:p w:rsidR="00244AF4" w:rsidRPr="004527D5" w:rsidRDefault="00244AF4" w:rsidP="00244AF4">
      <w:pPr>
        <w:pStyle w:val="SingleTxtGC"/>
        <w:rPr>
          <w:rFonts w:eastAsia="SimHei"/>
          <w:bCs/>
        </w:rPr>
      </w:pPr>
      <w:r w:rsidRPr="004527D5">
        <w:rPr>
          <w:rFonts w:eastAsia="SimHei"/>
          <w:lang w:val="en-GB"/>
        </w:rPr>
        <w:tab/>
      </w:r>
      <w:r w:rsidR="004527D5">
        <w:rPr>
          <w:rFonts w:eastAsia="SimHei"/>
          <w:lang w:val="en-GB"/>
        </w:rPr>
        <w:t>(b)</w:t>
      </w:r>
      <w:r w:rsidRPr="004527D5">
        <w:rPr>
          <w:rFonts w:eastAsia="SimHei"/>
          <w:lang w:val="en-GB"/>
        </w:rPr>
        <w:tab/>
      </w:r>
      <w:r w:rsidRPr="004527D5">
        <w:rPr>
          <w:rFonts w:eastAsia="SimHei"/>
          <w:bCs/>
          <w:lang w:val="en-GB"/>
        </w:rPr>
        <w:t>主管部门应与监测者进行积极接触</w:t>
      </w:r>
      <w:r w:rsidR="004527D5">
        <w:rPr>
          <w:rFonts w:eastAsia="SimHei"/>
          <w:bCs/>
          <w:lang w:val="en-GB"/>
        </w:rPr>
        <w:t>，</w:t>
      </w:r>
      <w:r w:rsidRPr="004527D5">
        <w:rPr>
          <w:rFonts w:eastAsia="SimHei"/>
          <w:bCs/>
          <w:lang w:val="en-GB"/>
        </w:rPr>
        <w:t>在集会之前、之中和之后始终保持沟通</w:t>
      </w:r>
      <w:r w:rsidR="004527D5">
        <w:rPr>
          <w:rFonts w:eastAsia="SimHei"/>
          <w:bCs/>
          <w:lang w:val="en-GB"/>
        </w:rPr>
        <w:t>；</w:t>
      </w:r>
      <w:r w:rsidRPr="004527D5">
        <w:rPr>
          <w:rFonts w:eastAsia="SimHei"/>
          <w:bCs/>
          <w:lang w:val="en-GB"/>
        </w:rPr>
        <w:t>使媒体成员和其他监测者能够进入集会场所并向其提供信息</w:t>
      </w:r>
      <w:r w:rsidR="004527D5">
        <w:rPr>
          <w:rFonts w:eastAsia="SimHei"/>
          <w:bCs/>
          <w:lang w:val="en-GB"/>
        </w:rPr>
        <w:t>；</w:t>
      </w:r>
      <w:r w:rsidRPr="004527D5">
        <w:rPr>
          <w:rFonts w:eastAsia="SimHei"/>
          <w:bCs/>
          <w:lang w:val="en-GB"/>
        </w:rPr>
        <w:t>并在集会后审议和回应监测者的报告</w:t>
      </w:r>
      <w:r w:rsidR="004527D5">
        <w:rPr>
          <w:rFonts w:eastAsia="SimHei"/>
          <w:bCs/>
          <w:lang w:val="en-GB"/>
        </w:rPr>
        <w:t>；</w:t>
      </w:r>
    </w:p>
    <w:p w:rsidR="00244AF4" w:rsidRPr="004527D5" w:rsidRDefault="00244AF4" w:rsidP="00244AF4">
      <w:pPr>
        <w:pStyle w:val="SingleTxtGC"/>
        <w:rPr>
          <w:rFonts w:eastAsia="SimHei"/>
          <w:bCs/>
        </w:rPr>
      </w:pPr>
      <w:r w:rsidRPr="004527D5">
        <w:rPr>
          <w:rFonts w:eastAsia="SimHei"/>
          <w:lang w:val="en-GB"/>
        </w:rPr>
        <w:tab/>
      </w:r>
      <w:r w:rsidR="004527D5">
        <w:rPr>
          <w:rFonts w:eastAsia="SimHei"/>
          <w:lang w:val="en-GB"/>
        </w:rPr>
        <w:t>(c)</w:t>
      </w:r>
      <w:r w:rsidRPr="004527D5">
        <w:rPr>
          <w:rFonts w:eastAsia="SimHei"/>
          <w:lang w:val="en-GB"/>
        </w:rPr>
        <w:tab/>
      </w:r>
      <w:r w:rsidRPr="004527D5">
        <w:rPr>
          <w:rFonts w:eastAsia="SimHei"/>
          <w:bCs/>
          <w:lang w:val="en-GB"/>
        </w:rPr>
        <w:t>主管部门应向国家人权机构或其他相关独立监督机构定期通报预期将举行的集会并为它们适当监测集会所有阶段所需的进入权提供便利</w:t>
      </w:r>
      <w:r w:rsidR="004527D5">
        <w:rPr>
          <w:rFonts w:eastAsia="SimHei"/>
          <w:bCs/>
          <w:lang w:val="en-GB"/>
        </w:rPr>
        <w:t>；</w:t>
      </w:r>
    </w:p>
    <w:p w:rsidR="00891554" w:rsidRDefault="00244AF4" w:rsidP="00244AF4">
      <w:pPr>
        <w:pStyle w:val="SingleTxtGC"/>
        <w:rPr>
          <w:rFonts w:eastAsia="SimHei"/>
          <w:bCs/>
          <w:lang w:val="en-GB"/>
        </w:rPr>
      </w:pPr>
      <w:r w:rsidRPr="004527D5">
        <w:rPr>
          <w:rFonts w:eastAsia="SimHei"/>
          <w:lang w:val="en-GB"/>
        </w:rPr>
        <w:tab/>
      </w:r>
      <w:r w:rsidR="004527D5">
        <w:rPr>
          <w:rFonts w:eastAsia="SimHei"/>
          <w:lang w:val="en-GB"/>
        </w:rPr>
        <w:t>(d)</w:t>
      </w:r>
      <w:r w:rsidRPr="004527D5">
        <w:rPr>
          <w:rFonts w:eastAsia="SimHei"/>
          <w:lang w:val="en-GB"/>
        </w:rPr>
        <w:tab/>
      </w:r>
      <w:r w:rsidRPr="004527D5">
        <w:rPr>
          <w:rFonts w:eastAsia="SimHei"/>
          <w:bCs/>
          <w:lang w:val="en-GB"/>
        </w:rPr>
        <w:t>各国应通过法律禁止任何干涉记录集会的行为</w:t>
      </w:r>
      <w:r w:rsidR="004527D5">
        <w:rPr>
          <w:rFonts w:eastAsia="SimHei"/>
          <w:bCs/>
          <w:lang w:val="en-GB"/>
        </w:rPr>
        <w:t>，</w:t>
      </w:r>
      <w:r w:rsidRPr="004527D5">
        <w:rPr>
          <w:rFonts w:eastAsia="SimHei"/>
          <w:bCs/>
          <w:lang w:val="en-GB"/>
        </w:rPr>
        <w:t>包括扣押或破坏设备</w:t>
      </w:r>
      <w:r w:rsidR="004527D5">
        <w:rPr>
          <w:rFonts w:eastAsia="SimHei"/>
          <w:bCs/>
          <w:lang w:val="en-GB"/>
        </w:rPr>
        <w:t>，</w:t>
      </w:r>
      <w:r w:rsidRPr="004527D5">
        <w:rPr>
          <w:rFonts w:eastAsia="SimHei"/>
          <w:bCs/>
          <w:lang w:val="en-GB"/>
        </w:rPr>
        <w:t>除非法官认为该设备具有证明价值</w:t>
      </w:r>
      <w:r w:rsidR="004527D5">
        <w:rPr>
          <w:rFonts w:eastAsia="SimHei"/>
          <w:bCs/>
          <w:lang w:val="en-GB"/>
        </w:rPr>
        <w:t>，</w:t>
      </w:r>
      <w:r w:rsidRPr="004527D5">
        <w:rPr>
          <w:rFonts w:eastAsia="SimHei"/>
          <w:bCs/>
          <w:lang w:val="en-GB"/>
        </w:rPr>
        <w:t>通过授权令允许这种做法。</w:t>
      </w:r>
    </w:p>
    <w:p w:rsidR="00891554" w:rsidRDefault="00891554">
      <w:pPr>
        <w:tabs>
          <w:tab w:val="clear" w:pos="431"/>
        </w:tabs>
        <w:overflowPunct/>
        <w:adjustRightInd/>
        <w:snapToGrid/>
        <w:spacing w:line="240" w:lineRule="auto"/>
        <w:jc w:val="left"/>
        <w:rPr>
          <w:rFonts w:eastAsia="SimHei"/>
          <w:bCs/>
          <w:lang w:val="en-GB"/>
        </w:rPr>
      </w:pPr>
      <w:r>
        <w:rPr>
          <w:rFonts w:eastAsia="SimHei"/>
          <w:bCs/>
          <w:lang w:val="en-GB"/>
        </w:rPr>
        <w:br w:type="page"/>
      </w:r>
    </w:p>
    <w:p w:rsidR="00244AF4" w:rsidRPr="004527D5" w:rsidRDefault="00244AF4" w:rsidP="00891554">
      <w:pPr>
        <w:pStyle w:val="H1GC"/>
        <w:rPr>
          <w:lang w:val="en-GB"/>
        </w:rPr>
      </w:pPr>
      <w:bookmarkStart w:id="39" w:name="_Toc309730747"/>
      <w:bookmarkStart w:id="40" w:name="_Toc309730882"/>
      <w:bookmarkStart w:id="41" w:name="_Toc437525377"/>
      <w:bookmarkStart w:id="42" w:name="_Toc437529851"/>
      <w:bookmarkStart w:id="43" w:name="_Toc440290944"/>
      <w:bookmarkStart w:id="44" w:name="_Toc305074194"/>
      <w:r w:rsidRPr="004527D5">
        <w:rPr>
          <w:lang w:val="en-GB"/>
        </w:rPr>
        <w:lastRenderedPageBreak/>
        <w:tab/>
      </w:r>
      <w:r w:rsidR="004527D5">
        <w:rPr>
          <w:lang w:val="en-GB"/>
        </w:rPr>
        <w:t>G</w:t>
      </w:r>
      <w:r w:rsidRPr="004527D5">
        <w:rPr>
          <w:lang w:val="en-GB"/>
        </w:rPr>
        <w:t>.</w:t>
      </w:r>
      <w:r w:rsidRPr="004527D5">
        <w:rPr>
          <w:lang w:val="en-GB"/>
        </w:rPr>
        <w:tab/>
      </w:r>
      <w:bookmarkEnd w:id="39"/>
      <w:bookmarkEnd w:id="40"/>
      <w:bookmarkEnd w:id="41"/>
      <w:bookmarkEnd w:id="42"/>
      <w:bookmarkEnd w:id="43"/>
      <w:r w:rsidRPr="004527D5">
        <w:rPr>
          <w:lang w:val="en-GB"/>
        </w:rPr>
        <w:t>收集与集会有关的个人信息不应对隐私权或其他权利构成不容许的</w:t>
      </w:r>
      <w:r w:rsidR="00891554">
        <w:rPr>
          <w:rFonts w:hint="eastAsia"/>
          <w:lang w:val="en-GB"/>
        </w:rPr>
        <w:br/>
      </w:r>
      <w:r w:rsidRPr="004527D5">
        <w:rPr>
          <w:lang w:val="en-GB"/>
        </w:rPr>
        <w:t>干涉</w:t>
      </w:r>
    </w:p>
    <w:p w:rsidR="00244AF4" w:rsidRPr="00244AF4" w:rsidRDefault="004527D5" w:rsidP="00244AF4">
      <w:pPr>
        <w:pStyle w:val="SingleTxtGC"/>
      </w:pPr>
      <w:r>
        <w:t>73.</w:t>
      </w:r>
      <w:r w:rsidR="003C70F0">
        <w:t xml:space="preserve">  </w:t>
      </w:r>
      <w:r w:rsidR="00244AF4" w:rsidRPr="00244AF4">
        <w:rPr>
          <w:rFonts w:hint="eastAsia"/>
          <w:lang w:val="en-GB"/>
        </w:rPr>
        <w:t>执法机构收集准确的信息可能有利于集会的适当管理</w:t>
      </w:r>
      <w:r>
        <w:rPr>
          <w:rFonts w:hint="eastAsia"/>
          <w:lang w:val="en-GB"/>
        </w:rPr>
        <w:t>，</w:t>
      </w:r>
      <w:r w:rsidR="00244AF4" w:rsidRPr="00244AF4">
        <w:rPr>
          <w:rFonts w:hint="eastAsia"/>
          <w:lang w:val="en-GB"/>
        </w:rPr>
        <w:t>使执法机构得以履行其职责</w:t>
      </w:r>
      <w:r>
        <w:rPr>
          <w:rFonts w:hint="eastAsia"/>
          <w:lang w:val="en-GB"/>
        </w:rPr>
        <w:t>，</w:t>
      </w:r>
      <w:r w:rsidR="00244AF4" w:rsidRPr="00244AF4">
        <w:rPr>
          <w:rFonts w:hint="eastAsia"/>
          <w:lang w:val="en-GB"/>
        </w:rPr>
        <w:t>为和平集会进行准备并提供便利。收集和处理个人信息</w:t>
      </w:r>
      <w:r>
        <w:rPr>
          <w:rFonts w:hint="eastAsia"/>
          <w:lang w:val="en-GB"/>
        </w:rPr>
        <w:t>，</w:t>
      </w:r>
      <w:r w:rsidR="00244AF4" w:rsidRPr="00244AF4">
        <w:rPr>
          <w:rFonts w:hint="eastAsia"/>
          <w:lang w:val="en-GB"/>
        </w:rPr>
        <w:t>例如通过录制设备、闭路电视和秘密警务活动</w:t>
      </w:r>
      <w:r>
        <w:rPr>
          <w:rFonts w:hint="eastAsia"/>
          <w:lang w:val="en-GB"/>
        </w:rPr>
        <w:t>，</w:t>
      </w:r>
      <w:r w:rsidR="00244AF4" w:rsidRPr="00244AF4">
        <w:rPr>
          <w:rFonts w:hint="eastAsia"/>
          <w:lang w:val="en-GB"/>
        </w:rPr>
        <w:t>必须遵守防止任意或非法干涉隐私权的保护规定。</w:t>
      </w:r>
    </w:p>
    <w:p w:rsidR="00244AF4" w:rsidRPr="00244AF4" w:rsidRDefault="004527D5" w:rsidP="00244AF4">
      <w:pPr>
        <w:pStyle w:val="SingleTxtGC"/>
      </w:pPr>
      <w:r>
        <w:t>74.</w:t>
      </w:r>
      <w:r w:rsidR="003C70F0">
        <w:t xml:space="preserve">  </w:t>
      </w:r>
      <w:r w:rsidR="00244AF4" w:rsidRPr="00244AF4">
        <w:rPr>
          <w:rFonts w:hint="eastAsia"/>
          <w:lang w:val="en-GB"/>
        </w:rPr>
        <w:t>规范收集和处理关于集会或其组织者和参与者的立法和政策必须纳入合法性、必要性和相称性标准。鉴于这种方法的侵犯性</w:t>
      </w:r>
      <w:r>
        <w:rPr>
          <w:rFonts w:hint="eastAsia"/>
          <w:lang w:val="en-GB"/>
        </w:rPr>
        <w:t>，</w:t>
      </w:r>
      <w:r w:rsidR="00244AF4" w:rsidRPr="00244AF4">
        <w:rPr>
          <w:rFonts w:hint="eastAsia"/>
          <w:lang w:val="en-GB"/>
        </w:rPr>
        <w:t>这些标准的门槛特别高。如果这些方法干涉权利的行使</w:t>
      </w:r>
      <w:r>
        <w:rPr>
          <w:rFonts w:hint="eastAsia"/>
          <w:lang w:val="en-GB"/>
        </w:rPr>
        <w:t>，</w:t>
      </w:r>
      <w:r w:rsidR="00244AF4" w:rsidRPr="00244AF4">
        <w:rPr>
          <w:rFonts w:hint="eastAsia"/>
          <w:lang w:val="en-GB"/>
        </w:rPr>
        <w:t>数据收集和处理可能会侵犯和平集会自由权和言论自由权。</w:t>
      </w:r>
    </w:p>
    <w:p w:rsidR="00244AF4" w:rsidRPr="00244AF4" w:rsidRDefault="004527D5" w:rsidP="004527D5">
      <w:pPr>
        <w:pStyle w:val="SingleTxtGC"/>
      </w:pPr>
      <w:r>
        <w:t>75.</w:t>
      </w:r>
      <w:r w:rsidR="003C70F0">
        <w:t xml:space="preserve">  </w:t>
      </w:r>
      <w:r w:rsidR="00244AF4" w:rsidRPr="00244AF4">
        <w:rPr>
          <w:rFonts w:hint="eastAsia"/>
        </w:rPr>
        <w:t>能够</w:t>
      </w:r>
      <w:r w:rsidR="00244AF4" w:rsidRPr="00244AF4">
        <w:rPr>
          <w:rFonts w:hint="eastAsia"/>
          <w:lang w:val="en-GB"/>
        </w:rPr>
        <w:t>安全私密地使用通信技术对于组织和举行集会至关重要。对网络访问或网上言论的限制应是必要和相称的</w:t>
      </w:r>
      <w:r>
        <w:rPr>
          <w:rFonts w:hint="eastAsia"/>
          <w:lang w:val="en-GB"/>
        </w:rPr>
        <w:t>，</w:t>
      </w:r>
      <w:r w:rsidR="00244AF4" w:rsidRPr="00244AF4">
        <w:rPr>
          <w:rFonts w:hint="eastAsia"/>
          <w:lang w:val="en-GB"/>
        </w:rPr>
        <w:t>且必须由独立于任何政治、商业或其他不正当的影响的机构施行</w:t>
      </w:r>
      <w:r>
        <w:rPr>
          <w:rFonts w:hint="eastAsia"/>
          <w:lang w:val="en-GB"/>
        </w:rPr>
        <w:t>，</w:t>
      </w:r>
      <w:r w:rsidR="00244AF4" w:rsidRPr="00244AF4">
        <w:rPr>
          <w:rFonts w:hint="eastAsia"/>
          <w:lang w:val="en-GB"/>
        </w:rPr>
        <w:t>还应针对侵权有充分的保障</w:t>
      </w:r>
      <w:r>
        <w:rPr>
          <w:rFonts w:hint="eastAsia"/>
          <w:lang w:val="en-GB"/>
        </w:rPr>
        <w:t>(</w:t>
      </w:r>
      <w:r w:rsidR="00244AF4" w:rsidRPr="00244AF4">
        <w:rPr>
          <w:rFonts w:hint="eastAsia"/>
          <w:lang w:val="en-GB"/>
        </w:rPr>
        <w:t>见</w:t>
      </w:r>
      <w:r>
        <w:rPr>
          <w:rFonts w:hint="eastAsia"/>
          <w:lang w:val="en-GB"/>
        </w:rPr>
        <w:t xml:space="preserve">A/HRC/17/27, </w:t>
      </w:r>
      <w:r w:rsidR="00244AF4" w:rsidRPr="00244AF4">
        <w:rPr>
          <w:rFonts w:hint="eastAsia"/>
          <w:lang w:val="en-GB"/>
        </w:rPr>
        <w:t>第</w:t>
      </w:r>
      <w:r>
        <w:rPr>
          <w:rFonts w:hint="eastAsia"/>
          <w:lang w:val="en-GB"/>
        </w:rPr>
        <w:t>69</w:t>
      </w:r>
      <w:r w:rsidR="00244AF4" w:rsidRPr="00244AF4">
        <w:rPr>
          <w:rFonts w:hint="eastAsia"/>
          <w:lang w:val="en-GB"/>
        </w:rPr>
        <w:t>段</w:t>
      </w:r>
      <w:r>
        <w:rPr>
          <w:rFonts w:hint="eastAsia"/>
          <w:lang w:val="en-GB"/>
        </w:rPr>
        <w:t>)</w:t>
      </w:r>
      <w:r w:rsidR="00244AF4" w:rsidRPr="00244AF4">
        <w:rPr>
          <w:rFonts w:hint="eastAsia"/>
          <w:lang w:val="en-GB"/>
        </w:rPr>
        <w:t>。阻断通信的做法</w:t>
      </w:r>
      <w:r w:rsidRPr="004527D5">
        <w:rPr>
          <w:rFonts w:hint="eastAsia"/>
          <w:spacing w:val="-50"/>
          <w:lang w:val="en-GB"/>
        </w:rPr>
        <w:t>―</w:t>
      </w:r>
      <w:r w:rsidRPr="004527D5">
        <w:rPr>
          <w:rFonts w:hint="eastAsia"/>
          <w:lang w:val="en-GB"/>
        </w:rPr>
        <w:t>―</w:t>
      </w:r>
      <w:r w:rsidR="00244AF4" w:rsidRPr="00244AF4">
        <w:rPr>
          <w:rFonts w:hint="eastAsia"/>
          <w:lang w:val="en-GB"/>
        </w:rPr>
        <w:t>妨碍组织或宣传在线集会</w:t>
      </w:r>
      <w:r w:rsidRPr="004527D5">
        <w:rPr>
          <w:rFonts w:hint="eastAsia"/>
          <w:spacing w:val="-50"/>
          <w:lang w:val="en-GB"/>
        </w:rPr>
        <w:t>―</w:t>
      </w:r>
      <w:r w:rsidRPr="004527D5">
        <w:rPr>
          <w:rFonts w:hint="eastAsia"/>
          <w:lang w:val="en-GB"/>
        </w:rPr>
        <w:t>―</w:t>
      </w:r>
      <w:r w:rsidR="00244AF4" w:rsidRPr="00244AF4">
        <w:rPr>
          <w:rFonts w:hint="eastAsia"/>
          <w:lang w:val="en-GB"/>
        </w:rPr>
        <w:t>很少能符合这些要求</w:t>
      </w:r>
      <w:r>
        <w:rPr>
          <w:rFonts w:hint="eastAsia"/>
          <w:lang w:val="en-GB"/>
        </w:rPr>
        <w:t>(</w:t>
      </w:r>
      <w:r w:rsidR="00244AF4" w:rsidRPr="00244AF4">
        <w:rPr>
          <w:rFonts w:hint="eastAsia"/>
          <w:lang w:val="en-GB"/>
        </w:rPr>
        <w:t>同上</w:t>
      </w:r>
      <w:r>
        <w:rPr>
          <w:rFonts w:hint="eastAsia"/>
          <w:lang w:val="en-GB"/>
        </w:rPr>
        <w:t>，</w:t>
      </w:r>
      <w:r w:rsidR="00244AF4" w:rsidRPr="00244AF4">
        <w:rPr>
          <w:rFonts w:hint="eastAsia"/>
          <w:lang w:val="en-GB"/>
        </w:rPr>
        <w:t>第</w:t>
      </w:r>
      <w:r>
        <w:rPr>
          <w:rFonts w:hint="eastAsia"/>
          <w:lang w:val="en-GB"/>
        </w:rPr>
        <w:t>31</w:t>
      </w:r>
      <w:r w:rsidR="00244AF4" w:rsidRPr="00244AF4">
        <w:rPr>
          <w:rFonts w:hint="eastAsia"/>
          <w:lang w:val="en-GB"/>
        </w:rPr>
        <w:t>段</w:t>
      </w:r>
      <w:r>
        <w:rPr>
          <w:rFonts w:hint="eastAsia"/>
          <w:lang w:val="en-GB"/>
        </w:rPr>
        <w:t>)</w:t>
      </w:r>
      <w:r w:rsidR="00244AF4" w:rsidRPr="00244AF4">
        <w:rPr>
          <w:rFonts w:hint="eastAsia"/>
          <w:lang w:val="en-GB"/>
        </w:rPr>
        <w:t>。</w:t>
      </w:r>
    </w:p>
    <w:p w:rsidR="00244AF4" w:rsidRPr="00244AF4" w:rsidRDefault="004527D5" w:rsidP="00244AF4">
      <w:pPr>
        <w:pStyle w:val="SingleTxtGC"/>
      </w:pPr>
      <w:r>
        <w:t>76.</w:t>
      </w:r>
      <w:r w:rsidR="003C70F0">
        <w:t xml:space="preserve">  </w:t>
      </w:r>
      <w:r w:rsidR="00244AF4" w:rsidRPr="00244AF4">
        <w:rPr>
          <w:rFonts w:hint="eastAsia"/>
          <w:lang w:val="en-GB"/>
        </w:rPr>
        <w:t>虽然对集会进行记录可能是出于正当执法和问责原因</w:t>
      </w:r>
      <w:r>
        <w:rPr>
          <w:rFonts w:hint="eastAsia"/>
          <w:lang w:val="en-GB"/>
        </w:rPr>
        <w:t>，</w:t>
      </w:r>
      <w:r w:rsidR="00244AF4" w:rsidRPr="00244AF4">
        <w:rPr>
          <w:rFonts w:hint="eastAsia"/>
          <w:lang w:val="en-GB"/>
        </w:rPr>
        <w:t>但记录与会者的这种行为可能对行使权利</w:t>
      </w:r>
      <w:r>
        <w:rPr>
          <w:rFonts w:hint="eastAsia"/>
          <w:lang w:val="en-GB"/>
        </w:rPr>
        <w:t>，</w:t>
      </w:r>
      <w:r w:rsidR="00244AF4" w:rsidRPr="00244AF4">
        <w:rPr>
          <w:rFonts w:hint="eastAsia"/>
          <w:lang w:val="en-GB"/>
        </w:rPr>
        <w:t>包括集会、结社和言论自由权</w:t>
      </w:r>
      <w:r>
        <w:rPr>
          <w:rFonts w:hint="eastAsia"/>
          <w:lang w:val="en-GB"/>
        </w:rPr>
        <w:t>，</w:t>
      </w:r>
      <w:r w:rsidR="00244AF4" w:rsidRPr="00244AF4">
        <w:rPr>
          <w:rFonts w:hint="eastAsia"/>
          <w:lang w:val="en-GB"/>
        </w:rPr>
        <w:t>产生寒蝉效应。</w:t>
      </w:r>
      <w:r w:rsidR="00244AF4" w:rsidRPr="00244AF4">
        <w:rPr>
          <w:rFonts w:hint="eastAsia"/>
        </w:rPr>
        <w:t>以</w:t>
      </w:r>
      <w:r w:rsidR="00244AF4" w:rsidRPr="00244AF4">
        <w:rPr>
          <w:rFonts w:hint="eastAsia"/>
          <w:lang w:val="en-GB"/>
        </w:rPr>
        <w:t>恐吓或骚扰的情况和方式记录和平集会参与者是对这些权利的不容许的干涉。</w:t>
      </w:r>
    </w:p>
    <w:p w:rsidR="00244AF4" w:rsidRPr="00244AF4" w:rsidRDefault="004527D5" w:rsidP="00244AF4">
      <w:pPr>
        <w:pStyle w:val="SingleTxtGC"/>
      </w:pPr>
      <w:r>
        <w:t>77.</w:t>
      </w:r>
      <w:r w:rsidR="003C70F0">
        <w:t xml:space="preserve">  </w:t>
      </w:r>
      <w:r w:rsidR="00244AF4" w:rsidRPr="00244AF4">
        <w:rPr>
          <w:rFonts w:hint="eastAsia"/>
          <w:lang w:val="en-GB"/>
        </w:rPr>
        <w:t>使用便衣警官收集有关集会的情报的做法存在问题。该做法具有高度的侵犯性并极有可能侵犯人权</w:t>
      </w:r>
      <w:r>
        <w:rPr>
          <w:rFonts w:hint="eastAsia"/>
          <w:lang w:val="en-GB"/>
        </w:rPr>
        <w:t>，</w:t>
      </w:r>
      <w:r w:rsidR="00244AF4" w:rsidRPr="00244AF4">
        <w:rPr>
          <w:rFonts w:hint="eastAsia"/>
          <w:lang w:val="en-GB"/>
        </w:rPr>
        <w:t>因此不应获得准许</w:t>
      </w:r>
      <w:r>
        <w:rPr>
          <w:rFonts w:hint="eastAsia"/>
          <w:lang w:val="en-GB"/>
        </w:rPr>
        <w:t>，</w:t>
      </w:r>
      <w:r w:rsidR="00244AF4" w:rsidRPr="00244AF4">
        <w:rPr>
          <w:rFonts w:hint="eastAsia"/>
          <w:lang w:val="en-GB"/>
        </w:rPr>
        <w:t>除非存在合理理由怀疑可能出现严重犯罪行为。当局应考虑拟执行的秘密活动是否是确保获得所需信息的唯一途径</w:t>
      </w:r>
      <w:r>
        <w:rPr>
          <w:rFonts w:hint="eastAsia"/>
          <w:lang w:val="en-GB"/>
        </w:rPr>
        <w:t>，</w:t>
      </w:r>
      <w:r w:rsidR="00244AF4" w:rsidRPr="00244AF4">
        <w:rPr>
          <w:rFonts w:hint="eastAsia"/>
          <w:lang w:val="en-GB"/>
        </w:rPr>
        <w:t>以及信息的价值是否使这种侵犯行为具有合理性。这方面应考虑到对所有受影响者权利的影响</w:t>
      </w:r>
      <w:r>
        <w:rPr>
          <w:rFonts w:hint="eastAsia"/>
          <w:lang w:val="en-GB"/>
        </w:rPr>
        <w:t>，</w:t>
      </w:r>
      <w:r w:rsidR="00244AF4" w:rsidRPr="00244AF4">
        <w:rPr>
          <w:rFonts w:hint="eastAsia"/>
          <w:lang w:val="en-GB"/>
        </w:rPr>
        <w:t>而不能只考虑目标。</w:t>
      </w:r>
    </w:p>
    <w:p w:rsidR="00244AF4" w:rsidRPr="00DE0653" w:rsidRDefault="004527D5" w:rsidP="00244AF4">
      <w:pPr>
        <w:pStyle w:val="SingleTxtGC"/>
        <w:rPr>
          <w:rFonts w:eastAsia="SimHei"/>
        </w:rPr>
      </w:pPr>
      <w:r w:rsidRPr="00DE0653">
        <w:rPr>
          <w:rFonts w:eastAsia="SimHei"/>
        </w:rPr>
        <w:t>78.</w:t>
      </w:r>
      <w:r w:rsidR="003C70F0" w:rsidRPr="00DE0653">
        <w:rPr>
          <w:rFonts w:eastAsia="SimHei"/>
        </w:rPr>
        <w:t xml:space="preserve">  </w:t>
      </w:r>
      <w:r w:rsidR="00244AF4" w:rsidRPr="00DE0653">
        <w:rPr>
          <w:rFonts w:eastAsia="SimHei"/>
          <w:bCs/>
          <w:lang w:val="en-GB"/>
        </w:rPr>
        <w:t>实用建议</w:t>
      </w:r>
      <w:r w:rsidRPr="00DE0653">
        <w:rPr>
          <w:rFonts w:eastAsia="SimHei"/>
          <w:bCs/>
          <w:lang w:val="en-GB"/>
        </w:rPr>
        <w:t>：</w:t>
      </w:r>
    </w:p>
    <w:p w:rsidR="00244AF4" w:rsidRPr="00DE0653" w:rsidRDefault="00244AF4" w:rsidP="00244AF4">
      <w:pPr>
        <w:pStyle w:val="SingleTxtGC"/>
        <w:rPr>
          <w:rFonts w:eastAsia="SimHei"/>
          <w:bCs/>
        </w:rPr>
      </w:pPr>
      <w:r w:rsidRPr="00DE0653">
        <w:rPr>
          <w:rFonts w:eastAsia="SimHei"/>
          <w:lang w:val="en-GB"/>
        </w:rPr>
        <w:tab/>
      </w:r>
      <w:r w:rsidR="004527D5" w:rsidRPr="00DE0653">
        <w:rPr>
          <w:rFonts w:eastAsia="SimHei"/>
          <w:lang w:val="en-GB"/>
        </w:rPr>
        <w:t>(a)</w:t>
      </w:r>
      <w:r w:rsidRPr="00DE0653">
        <w:rPr>
          <w:rFonts w:eastAsia="SimHei"/>
          <w:lang w:val="en-GB"/>
        </w:rPr>
        <w:tab/>
      </w:r>
      <w:r w:rsidRPr="00DE0653">
        <w:rPr>
          <w:rFonts w:eastAsia="SimHei" w:hint="eastAsia"/>
          <w:bCs/>
          <w:lang w:val="en-GB"/>
        </w:rPr>
        <w:t>国内法律应规定</w:t>
      </w:r>
      <w:r w:rsidR="004527D5" w:rsidRPr="00DE0653">
        <w:rPr>
          <w:rFonts w:eastAsia="SimHei" w:hint="eastAsia"/>
          <w:bCs/>
          <w:lang w:val="en-GB"/>
        </w:rPr>
        <w:t>，</w:t>
      </w:r>
      <w:r w:rsidRPr="00DE0653">
        <w:rPr>
          <w:rFonts w:eastAsia="SimHei" w:hint="eastAsia"/>
          <w:bCs/>
          <w:lang w:val="en-GB"/>
        </w:rPr>
        <w:t>在集会期间公众被记录或可能被记录的情况应对他们进行通告。这可能需要</w:t>
      </w:r>
      <w:r w:rsidR="004527D5" w:rsidRPr="00DE0653">
        <w:rPr>
          <w:rFonts w:eastAsia="SimHei" w:hint="eastAsia"/>
          <w:bCs/>
          <w:lang w:val="en-GB"/>
        </w:rPr>
        <w:t>，</w:t>
      </w:r>
      <w:r w:rsidRPr="00DE0653">
        <w:rPr>
          <w:rFonts w:eastAsia="SimHei" w:hint="eastAsia"/>
          <w:bCs/>
          <w:lang w:val="en-GB"/>
        </w:rPr>
        <w:t>例如</w:t>
      </w:r>
      <w:r w:rsidR="004527D5" w:rsidRPr="00DE0653">
        <w:rPr>
          <w:rFonts w:eastAsia="SimHei" w:hint="eastAsia"/>
          <w:bCs/>
          <w:lang w:val="en-GB"/>
        </w:rPr>
        <w:t>，</w:t>
      </w:r>
      <w:r w:rsidRPr="00DE0653">
        <w:rPr>
          <w:rFonts w:eastAsia="SimHei" w:hint="eastAsia"/>
          <w:bCs/>
          <w:lang w:val="en-GB"/>
        </w:rPr>
        <w:t>在规划的集会路途沿线设立表明固定摄像头的临时标识</w:t>
      </w:r>
      <w:r w:rsidR="004527D5" w:rsidRPr="00DE0653">
        <w:rPr>
          <w:rFonts w:eastAsia="SimHei" w:hint="eastAsia"/>
          <w:bCs/>
          <w:lang w:val="en-GB"/>
        </w:rPr>
        <w:t>，</w:t>
      </w:r>
      <w:r w:rsidRPr="00DE0653">
        <w:rPr>
          <w:rFonts w:eastAsia="SimHei" w:hint="eastAsia"/>
          <w:bCs/>
          <w:lang w:val="en-GB"/>
        </w:rPr>
        <w:t>或公告说明无人机正在拍摄</w:t>
      </w:r>
      <w:r w:rsidR="004527D5" w:rsidRPr="00DE0653">
        <w:rPr>
          <w:rFonts w:eastAsia="SimHei" w:hint="eastAsia"/>
          <w:bCs/>
          <w:lang w:val="en-GB"/>
        </w:rPr>
        <w:t>；</w:t>
      </w:r>
    </w:p>
    <w:p w:rsidR="00244AF4" w:rsidRPr="00DE0653" w:rsidRDefault="00244AF4" w:rsidP="00244AF4">
      <w:pPr>
        <w:pStyle w:val="SingleTxtGC"/>
        <w:rPr>
          <w:rFonts w:eastAsia="SimHei"/>
          <w:bCs/>
          <w:lang w:val="en-GB"/>
        </w:rPr>
      </w:pPr>
      <w:r w:rsidRPr="00DE0653">
        <w:rPr>
          <w:rFonts w:eastAsia="SimHei"/>
          <w:lang w:val="en-GB"/>
        </w:rPr>
        <w:tab/>
      </w:r>
      <w:r w:rsidR="004527D5" w:rsidRPr="00DE0653">
        <w:rPr>
          <w:rFonts w:eastAsia="SimHei"/>
          <w:lang w:val="en-GB"/>
        </w:rPr>
        <w:t>(b)</w:t>
      </w:r>
      <w:r w:rsidRPr="00DE0653">
        <w:rPr>
          <w:rFonts w:eastAsia="SimHei"/>
          <w:lang w:val="en-GB"/>
        </w:rPr>
        <w:tab/>
      </w:r>
      <w:r w:rsidRPr="00DE0653">
        <w:rPr>
          <w:rFonts w:eastAsia="SimHei" w:hint="eastAsia"/>
          <w:bCs/>
          <w:lang w:val="en-GB"/>
        </w:rPr>
        <w:t>各国在集会背景下采用任何生物鉴别技术</w:t>
      </w:r>
      <w:r w:rsidR="004527D5" w:rsidRPr="00DE0653">
        <w:rPr>
          <w:rFonts w:eastAsia="SimHei" w:hint="eastAsia"/>
          <w:bCs/>
          <w:lang w:val="en-GB"/>
        </w:rPr>
        <w:t>(</w:t>
      </w:r>
      <w:r w:rsidRPr="00DE0653">
        <w:rPr>
          <w:rFonts w:eastAsia="SimHei" w:hint="eastAsia"/>
          <w:bCs/>
          <w:lang w:val="en-GB"/>
        </w:rPr>
        <w:t>包括面部识别软件</w:t>
      </w:r>
      <w:r w:rsidR="004527D5" w:rsidRPr="00DE0653">
        <w:rPr>
          <w:rFonts w:eastAsia="SimHei" w:hint="eastAsia"/>
          <w:bCs/>
          <w:lang w:val="en-GB"/>
        </w:rPr>
        <w:t>)</w:t>
      </w:r>
      <w:r w:rsidRPr="00DE0653">
        <w:rPr>
          <w:rFonts w:eastAsia="SimHei" w:hint="eastAsia"/>
          <w:bCs/>
          <w:lang w:val="en-GB"/>
        </w:rPr>
        <w:t>以前</w:t>
      </w:r>
      <w:r w:rsidR="004527D5" w:rsidRPr="00DE0653">
        <w:rPr>
          <w:rFonts w:eastAsia="SimHei" w:hint="eastAsia"/>
          <w:bCs/>
          <w:lang w:val="en-GB"/>
        </w:rPr>
        <w:t>，</w:t>
      </w:r>
      <w:r w:rsidRPr="00DE0653">
        <w:rPr>
          <w:rFonts w:eastAsia="SimHei" w:hint="eastAsia"/>
          <w:bCs/>
          <w:lang w:val="en-GB"/>
        </w:rPr>
        <w:t>应对公众隐私和安全采取有力和适当的保护</w:t>
      </w:r>
      <w:r w:rsidR="004527D5" w:rsidRPr="00DE0653">
        <w:rPr>
          <w:rFonts w:eastAsia="SimHei" w:hint="eastAsia"/>
          <w:bCs/>
          <w:lang w:val="en-GB"/>
        </w:rPr>
        <w:t>；</w:t>
      </w:r>
    </w:p>
    <w:p w:rsidR="00244AF4" w:rsidRPr="00DE0653" w:rsidRDefault="00244AF4" w:rsidP="00244AF4">
      <w:pPr>
        <w:pStyle w:val="SingleTxtGC"/>
        <w:rPr>
          <w:rFonts w:eastAsia="SimHei"/>
          <w:bCs/>
        </w:rPr>
      </w:pPr>
      <w:r w:rsidRPr="00DE0653">
        <w:rPr>
          <w:rFonts w:eastAsia="SimHei"/>
          <w:lang w:val="en-GB"/>
        </w:rPr>
        <w:tab/>
      </w:r>
      <w:r w:rsidR="004527D5" w:rsidRPr="00DE0653">
        <w:rPr>
          <w:rFonts w:eastAsia="SimHei"/>
          <w:lang w:val="en-GB"/>
        </w:rPr>
        <w:t>(c)</w:t>
      </w:r>
      <w:r w:rsidRPr="00DE0653">
        <w:rPr>
          <w:rFonts w:eastAsia="SimHei"/>
          <w:lang w:val="en-GB"/>
        </w:rPr>
        <w:tab/>
      </w:r>
      <w:r w:rsidRPr="00DE0653">
        <w:rPr>
          <w:rFonts w:eastAsia="SimHei" w:hint="eastAsia"/>
          <w:bCs/>
          <w:lang w:val="en-GB"/>
        </w:rPr>
        <w:t>各国应制定和执行法律和政策</w:t>
      </w:r>
      <w:r w:rsidR="004527D5" w:rsidRPr="00DE0653">
        <w:rPr>
          <w:rFonts w:eastAsia="SimHei" w:hint="eastAsia"/>
          <w:bCs/>
          <w:lang w:val="en-GB"/>
        </w:rPr>
        <w:t>，</w:t>
      </w:r>
      <w:r w:rsidRPr="00DE0653">
        <w:rPr>
          <w:rFonts w:eastAsia="SimHei" w:hint="eastAsia"/>
          <w:bCs/>
          <w:lang w:val="en-GB"/>
        </w:rPr>
        <w:t>规定只有出于合法、正当的执法目的</w:t>
      </w:r>
      <w:r w:rsidR="004527D5" w:rsidRPr="00DE0653">
        <w:rPr>
          <w:rFonts w:eastAsia="SimHei" w:hint="eastAsia"/>
          <w:bCs/>
          <w:lang w:val="en-GB"/>
        </w:rPr>
        <w:t>，</w:t>
      </w:r>
      <w:r w:rsidRPr="00DE0653">
        <w:rPr>
          <w:rFonts w:eastAsia="SimHei" w:hint="eastAsia"/>
          <w:bCs/>
          <w:lang w:val="en-GB"/>
        </w:rPr>
        <w:t>方可收集或保留个人信息。应在法律规定的合理期限内销毁此类信息</w:t>
      </w:r>
      <w:r w:rsidR="004527D5" w:rsidRPr="00DE0653">
        <w:rPr>
          <w:rFonts w:eastAsia="SimHei" w:hint="eastAsia"/>
          <w:bCs/>
          <w:lang w:val="en-GB"/>
        </w:rPr>
        <w:t>；</w:t>
      </w:r>
    </w:p>
    <w:p w:rsidR="00244AF4" w:rsidRPr="00DE0653" w:rsidRDefault="00244AF4" w:rsidP="00244AF4">
      <w:pPr>
        <w:pStyle w:val="SingleTxtGC"/>
        <w:rPr>
          <w:rFonts w:eastAsia="SimHei"/>
          <w:bCs/>
        </w:rPr>
      </w:pPr>
      <w:r w:rsidRPr="00DE0653">
        <w:rPr>
          <w:rFonts w:eastAsia="SimHei"/>
          <w:lang w:val="en-GB"/>
        </w:rPr>
        <w:tab/>
      </w:r>
      <w:r w:rsidR="004527D5" w:rsidRPr="00DE0653">
        <w:rPr>
          <w:rFonts w:eastAsia="SimHei"/>
          <w:lang w:val="en-GB"/>
        </w:rPr>
        <w:t>(d)</w:t>
      </w:r>
      <w:r w:rsidRPr="00DE0653">
        <w:rPr>
          <w:rFonts w:eastAsia="SimHei"/>
          <w:lang w:val="en-GB"/>
        </w:rPr>
        <w:tab/>
      </w:r>
      <w:r w:rsidRPr="00DE0653">
        <w:rPr>
          <w:rFonts w:eastAsia="SimHei" w:hint="eastAsia"/>
          <w:bCs/>
          <w:lang w:val="en-GB"/>
        </w:rPr>
        <w:t>然而</w:t>
      </w:r>
      <w:r w:rsidR="004527D5" w:rsidRPr="00DE0653">
        <w:rPr>
          <w:rFonts w:eastAsia="SimHei" w:hint="eastAsia"/>
          <w:bCs/>
          <w:lang w:val="en-GB"/>
        </w:rPr>
        <w:t>，</w:t>
      </w:r>
      <w:r w:rsidRPr="00DE0653">
        <w:rPr>
          <w:rFonts w:eastAsia="SimHei" w:hint="eastAsia"/>
          <w:bCs/>
          <w:lang w:val="en-GB"/>
        </w:rPr>
        <w:t>如果有关信息显示使用武力、拘留或逮捕、或驱散</w:t>
      </w:r>
      <w:r w:rsidR="004527D5" w:rsidRPr="00DE0653">
        <w:rPr>
          <w:rFonts w:eastAsia="SimHei" w:hint="eastAsia"/>
          <w:bCs/>
          <w:lang w:val="en-GB"/>
        </w:rPr>
        <w:t>，</w:t>
      </w:r>
      <w:r w:rsidRPr="00DE0653">
        <w:rPr>
          <w:rFonts w:eastAsia="SimHei" w:hint="eastAsia"/>
          <w:bCs/>
          <w:lang w:val="en-GB"/>
        </w:rPr>
        <w:t>或如果涉及一项申诉的对象</w:t>
      </w:r>
      <w:r w:rsidR="004527D5" w:rsidRPr="00DE0653">
        <w:rPr>
          <w:rFonts w:eastAsia="SimHei" w:hint="eastAsia"/>
          <w:bCs/>
          <w:lang w:val="en-GB"/>
        </w:rPr>
        <w:t>；</w:t>
      </w:r>
      <w:r w:rsidRPr="00DE0653">
        <w:rPr>
          <w:rFonts w:eastAsia="SimHei" w:hint="eastAsia"/>
          <w:bCs/>
          <w:lang w:val="en-GB"/>
        </w:rPr>
        <w:t>或如果执法、监督当局或该信息的对象存在关于发生了犯罪或不当行为的合理怀疑</w:t>
      </w:r>
      <w:r w:rsidR="004527D5" w:rsidRPr="00DE0653">
        <w:rPr>
          <w:rFonts w:eastAsia="SimHei" w:hint="eastAsia"/>
          <w:bCs/>
          <w:lang w:val="en-GB"/>
        </w:rPr>
        <w:t>，</w:t>
      </w:r>
      <w:r w:rsidRPr="00DE0653">
        <w:rPr>
          <w:rFonts w:eastAsia="SimHei" w:hint="eastAsia"/>
          <w:bCs/>
          <w:lang w:val="en-GB"/>
        </w:rPr>
        <w:t>则应保留相关信息</w:t>
      </w:r>
      <w:r w:rsidR="004527D5" w:rsidRPr="00DE0653">
        <w:rPr>
          <w:rFonts w:eastAsia="SimHei" w:hint="eastAsia"/>
          <w:bCs/>
          <w:lang w:val="en-GB"/>
        </w:rPr>
        <w:t>；</w:t>
      </w:r>
    </w:p>
    <w:p w:rsidR="00244AF4" w:rsidRPr="00DE0653" w:rsidRDefault="00244AF4" w:rsidP="00244AF4">
      <w:pPr>
        <w:pStyle w:val="SingleTxtGC"/>
        <w:rPr>
          <w:rFonts w:eastAsia="SimHei"/>
          <w:bCs/>
        </w:rPr>
      </w:pPr>
      <w:r w:rsidRPr="00DE0653">
        <w:rPr>
          <w:rFonts w:eastAsia="SimHei"/>
          <w:lang w:val="en-GB"/>
        </w:rPr>
        <w:lastRenderedPageBreak/>
        <w:tab/>
      </w:r>
      <w:r w:rsidR="004527D5" w:rsidRPr="00DE0653">
        <w:rPr>
          <w:rFonts w:eastAsia="SimHei"/>
          <w:lang w:val="en-GB"/>
        </w:rPr>
        <w:t>(e)</w:t>
      </w:r>
      <w:r w:rsidRPr="00DE0653">
        <w:rPr>
          <w:rFonts w:eastAsia="SimHei"/>
          <w:lang w:val="en-GB"/>
        </w:rPr>
        <w:tab/>
      </w:r>
      <w:r w:rsidRPr="00DE0653">
        <w:rPr>
          <w:rFonts w:eastAsia="SimHei" w:hint="eastAsia"/>
          <w:bCs/>
          <w:lang w:val="en-GB"/>
        </w:rPr>
        <w:t>各国应建立机制</w:t>
      </w:r>
      <w:r w:rsidR="004527D5" w:rsidRPr="00DE0653">
        <w:rPr>
          <w:rFonts w:eastAsia="SimHei" w:hint="eastAsia"/>
          <w:bCs/>
          <w:lang w:val="en-GB"/>
        </w:rPr>
        <w:t>，</w:t>
      </w:r>
      <w:r w:rsidRPr="00DE0653">
        <w:rPr>
          <w:rFonts w:eastAsia="SimHei" w:hint="eastAsia"/>
          <w:bCs/>
          <w:lang w:val="en-GB"/>
        </w:rPr>
        <w:t>使个人可以查明信息是否被保留</w:t>
      </w:r>
      <w:r w:rsidR="004527D5" w:rsidRPr="00DE0653">
        <w:rPr>
          <w:rFonts w:eastAsia="SimHei" w:hint="eastAsia"/>
          <w:bCs/>
          <w:lang w:val="en-GB"/>
        </w:rPr>
        <w:t>，</w:t>
      </w:r>
      <w:r w:rsidRPr="00DE0653">
        <w:rPr>
          <w:rFonts w:eastAsia="SimHei" w:hint="eastAsia"/>
          <w:bCs/>
          <w:lang w:val="en-GB"/>
        </w:rPr>
        <w:t>以及如果保存了信息</w:t>
      </w:r>
      <w:r w:rsidR="004527D5" w:rsidRPr="00DE0653">
        <w:rPr>
          <w:rFonts w:eastAsia="SimHei" w:hint="eastAsia"/>
          <w:bCs/>
          <w:lang w:val="en-GB"/>
        </w:rPr>
        <w:t>，</w:t>
      </w:r>
      <w:r w:rsidRPr="00DE0653">
        <w:rPr>
          <w:rFonts w:eastAsia="SimHei" w:hint="eastAsia"/>
          <w:bCs/>
          <w:lang w:val="en-GB"/>
        </w:rPr>
        <w:t>保存了哪些信息</w:t>
      </w:r>
      <w:r w:rsidR="004527D5" w:rsidRPr="00DE0653">
        <w:rPr>
          <w:rFonts w:eastAsia="SimHei" w:hint="eastAsia"/>
          <w:bCs/>
          <w:lang w:val="en-GB"/>
        </w:rPr>
        <w:t>，</w:t>
      </w:r>
      <w:r w:rsidRPr="00DE0653">
        <w:rPr>
          <w:rFonts w:eastAsia="SimHei" w:hint="eastAsia"/>
          <w:bCs/>
          <w:lang w:val="en-GB"/>
        </w:rPr>
        <w:t>并应能够使用有效程序</w:t>
      </w:r>
      <w:r w:rsidR="004527D5" w:rsidRPr="00DE0653">
        <w:rPr>
          <w:rFonts w:eastAsia="SimHei" w:hint="eastAsia"/>
          <w:bCs/>
          <w:lang w:val="en-GB"/>
        </w:rPr>
        <w:t>，</w:t>
      </w:r>
      <w:r w:rsidRPr="00DE0653">
        <w:rPr>
          <w:rFonts w:eastAsia="SimHei" w:hint="eastAsia"/>
          <w:bCs/>
          <w:lang w:val="en-GB"/>
        </w:rPr>
        <w:t>对收集、保留和使用其个人信息进行投诉</w:t>
      </w:r>
      <w:r w:rsidR="004527D5" w:rsidRPr="00DE0653">
        <w:rPr>
          <w:rFonts w:eastAsia="SimHei" w:hint="eastAsia"/>
          <w:bCs/>
          <w:lang w:val="en-GB"/>
        </w:rPr>
        <w:t>，</w:t>
      </w:r>
      <w:r w:rsidRPr="00DE0653">
        <w:rPr>
          <w:rFonts w:eastAsia="SimHei" w:hint="eastAsia"/>
          <w:bCs/>
          <w:lang w:val="en-GB"/>
        </w:rPr>
        <w:t>并能够促使修正和删除这些信息</w:t>
      </w:r>
      <w:r w:rsidR="004527D5" w:rsidRPr="00DE0653">
        <w:rPr>
          <w:rFonts w:eastAsia="SimHei" w:hint="eastAsia"/>
          <w:bCs/>
          <w:lang w:val="en-GB"/>
        </w:rPr>
        <w:t>；</w:t>
      </w:r>
    </w:p>
    <w:p w:rsidR="00244AF4" w:rsidRPr="00DE0653" w:rsidRDefault="00244AF4" w:rsidP="00244AF4">
      <w:pPr>
        <w:pStyle w:val="SingleTxtGC"/>
        <w:rPr>
          <w:rFonts w:eastAsia="SimHei"/>
          <w:bCs/>
        </w:rPr>
      </w:pPr>
      <w:r w:rsidRPr="00DE0653">
        <w:rPr>
          <w:rFonts w:eastAsia="SimHei"/>
          <w:lang w:val="en-GB"/>
        </w:rPr>
        <w:tab/>
      </w:r>
      <w:r w:rsidR="004527D5" w:rsidRPr="00DE0653">
        <w:rPr>
          <w:rFonts w:eastAsia="SimHei"/>
          <w:lang w:val="en-GB"/>
        </w:rPr>
        <w:t>(f)</w:t>
      </w:r>
      <w:r w:rsidRPr="00DE0653">
        <w:rPr>
          <w:rFonts w:eastAsia="SimHei"/>
          <w:lang w:val="en-GB"/>
        </w:rPr>
        <w:tab/>
      </w:r>
      <w:r w:rsidRPr="00DE0653">
        <w:rPr>
          <w:rFonts w:eastAsia="SimHei" w:hint="eastAsia"/>
          <w:bCs/>
          <w:lang w:val="en-GB"/>
        </w:rPr>
        <w:t>各国应通过一致的立法、规章和政策制定明确的秘密警务工作民主管控制度</w:t>
      </w:r>
      <w:r w:rsidR="004527D5" w:rsidRPr="00DE0653">
        <w:rPr>
          <w:rFonts w:eastAsia="SimHei" w:hint="eastAsia"/>
          <w:bCs/>
          <w:lang w:val="en-GB"/>
        </w:rPr>
        <w:t>，</w:t>
      </w:r>
      <w:r w:rsidRPr="00DE0653">
        <w:rPr>
          <w:rFonts w:eastAsia="SimHei" w:hint="eastAsia"/>
          <w:bCs/>
          <w:lang w:val="en-GB"/>
        </w:rPr>
        <w:t>明确包括必要性和相称性标准</w:t>
      </w:r>
      <w:r w:rsidR="004527D5" w:rsidRPr="00DE0653">
        <w:rPr>
          <w:rFonts w:eastAsia="SimHei" w:hint="eastAsia"/>
          <w:bCs/>
          <w:lang w:val="en-GB"/>
        </w:rPr>
        <w:t>，</w:t>
      </w:r>
      <w:r w:rsidRPr="00DE0653">
        <w:rPr>
          <w:rFonts w:eastAsia="SimHei" w:hint="eastAsia"/>
          <w:bCs/>
          <w:lang w:val="en-GB"/>
        </w:rPr>
        <w:t>并明确规定如何评估和管理侵犯的风险。这应包括一个内部审查进程以及一个或多个独立的外部机构的监督。集会背景下的任何秘密警务活动应需要司法机关的授权。</w:t>
      </w:r>
    </w:p>
    <w:p w:rsidR="00244AF4" w:rsidRPr="00244AF4" w:rsidRDefault="00244AF4" w:rsidP="004527D5">
      <w:pPr>
        <w:pStyle w:val="H1GC"/>
        <w:rPr>
          <w:lang w:val="en-GB"/>
        </w:rPr>
      </w:pPr>
      <w:bookmarkStart w:id="45" w:name="_Toc309730748"/>
      <w:bookmarkStart w:id="46" w:name="_Toc309730883"/>
      <w:bookmarkStart w:id="47" w:name="_Toc437525378"/>
      <w:bookmarkStart w:id="48" w:name="_Toc437529852"/>
      <w:bookmarkStart w:id="49" w:name="_Toc440290945"/>
      <w:bookmarkEnd w:id="44"/>
      <w:r w:rsidRPr="00244AF4">
        <w:rPr>
          <w:lang w:val="en-GB"/>
        </w:rPr>
        <w:tab/>
      </w:r>
      <w:r w:rsidR="004527D5">
        <w:rPr>
          <w:lang w:val="en-GB"/>
        </w:rPr>
        <w:t>H</w:t>
      </w:r>
      <w:r w:rsidRPr="00244AF4">
        <w:rPr>
          <w:lang w:val="en-GB"/>
        </w:rPr>
        <w:t>.</w:t>
      </w:r>
      <w:r w:rsidRPr="00244AF4">
        <w:rPr>
          <w:lang w:val="en-GB"/>
        </w:rPr>
        <w:tab/>
      </w:r>
      <w:bookmarkEnd w:id="45"/>
      <w:bookmarkEnd w:id="46"/>
      <w:bookmarkEnd w:id="47"/>
      <w:bookmarkEnd w:id="48"/>
      <w:bookmarkEnd w:id="49"/>
      <w:r w:rsidRPr="00244AF4">
        <w:rPr>
          <w:rFonts w:hint="eastAsia"/>
          <w:lang w:val="en-GB"/>
        </w:rPr>
        <w:t>人人有权获取有关集会的信息</w:t>
      </w:r>
    </w:p>
    <w:p w:rsidR="00244AF4" w:rsidRPr="00244AF4" w:rsidRDefault="004527D5" w:rsidP="00244AF4">
      <w:pPr>
        <w:pStyle w:val="SingleTxtGC"/>
      </w:pPr>
      <w:r>
        <w:t>79.</w:t>
      </w:r>
      <w:r w:rsidR="003C70F0">
        <w:t xml:space="preserve">  </w:t>
      </w:r>
      <w:r w:rsidR="00244AF4" w:rsidRPr="00244AF4">
        <w:rPr>
          <w:rFonts w:hint="eastAsia"/>
          <w:lang w:val="en-GB"/>
        </w:rPr>
        <w:t>获取信息的能力对于个人能够在集会背景下行使其权利以及确保问责制至关重要。信息包括各级公共机构或履行公共职能的私营机构所保存的记录。</w:t>
      </w:r>
      <w:r w:rsidR="00244AF4" w:rsidRPr="006A5AF9">
        <w:rPr>
          <w:color w:val="0000FF"/>
          <w:vertAlign w:val="superscript"/>
          <w:lang w:val="en-GB"/>
        </w:rPr>
        <w:footnoteReference w:id="54"/>
      </w:r>
    </w:p>
    <w:p w:rsidR="00244AF4" w:rsidRPr="00244AF4" w:rsidRDefault="004527D5" w:rsidP="00244AF4">
      <w:pPr>
        <w:pStyle w:val="SingleTxtGC"/>
      </w:pPr>
      <w:r>
        <w:t>80.</w:t>
      </w:r>
      <w:r w:rsidR="003C70F0">
        <w:t xml:space="preserve">  </w:t>
      </w:r>
      <w:r w:rsidR="00244AF4" w:rsidRPr="00244AF4">
        <w:rPr>
          <w:rFonts w:hint="eastAsia"/>
          <w:lang w:val="en-GB"/>
        </w:rPr>
        <w:t>公众应可便捷、迅速、有效和切实地获得这些信息</w:t>
      </w:r>
      <w:r>
        <w:rPr>
          <w:rFonts w:hint="eastAsia"/>
          <w:lang w:val="en-GB"/>
        </w:rPr>
        <w:t>，</w:t>
      </w:r>
      <w:r w:rsidR="00244AF4" w:rsidRPr="00244AF4">
        <w:rPr>
          <w:rFonts w:hint="eastAsia"/>
          <w:lang w:val="en-GB"/>
        </w:rPr>
        <w:t>为此国家应积极披露和颁布立法便利公众获取信息。便利信息获取的立法应遵循最大限度披露原则</w:t>
      </w:r>
      <w:r>
        <w:rPr>
          <w:rFonts w:hint="eastAsia"/>
          <w:lang w:val="en-GB"/>
        </w:rPr>
        <w:t>，</w:t>
      </w:r>
      <w:r w:rsidR="00244AF4" w:rsidRPr="00244AF4">
        <w:rPr>
          <w:rFonts w:hint="eastAsia"/>
          <w:lang w:val="en-GB"/>
        </w:rPr>
        <w:t>确立可以获取信息的推定</w:t>
      </w:r>
      <w:r>
        <w:rPr>
          <w:rFonts w:hint="eastAsia"/>
          <w:lang w:val="en-GB"/>
        </w:rPr>
        <w:t>，</w:t>
      </w:r>
      <w:r w:rsidR="00244AF4" w:rsidRPr="00244AF4">
        <w:rPr>
          <w:rFonts w:hint="eastAsia"/>
          <w:lang w:val="en-GB"/>
        </w:rPr>
        <w:t>仅受有限的例外制度的限制。</w:t>
      </w:r>
      <w:r w:rsidR="00244AF4" w:rsidRPr="006A5AF9">
        <w:rPr>
          <w:color w:val="0000FF"/>
          <w:vertAlign w:val="superscript"/>
          <w:lang w:val="en-GB"/>
        </w:rPr>
        <w:footnoteReference w:id="55"/>
      </w:r>
    </w:p>
    <w:p w:rsidR="00244AF4" w:rsidRPr="00244AF4" w:rsidRDefault="004527D5" w:rsidP="00244AF4">
      <w:pPr>
        <w:pStyle w:val="SingleTxtGC"/>
      </w:pPr>
      <w:r>
        <w:t>81.</w:t>
      </w:r>
      <w:r w:rsidR="003C70F0">
        <w:t xml:space="preserve">  </w:t>
      </w:r>
      <w:r w:rsidR="00244AF4" w:rsidRPr="00244AF4">
        <w:rPr>
          <w:rFonts w:hint="eastAsia"/>
          <w:lang w:val="en-GB"/>
        </w:rPr>
        <w:t>应精心制定获取信息权利的例外情况</w:t>
      </w:r>
      <w:r>
        <w:rPr>
          <w:rFonts w:hint="eastAsia"/>
          <w:lang w:val="en-GB"/>
        </w:rPr>
        <w:t>，</w:t>
      </w:r>
      <w:r w:rsidR="00244AF4" w:rsidRPr="00244AF4">
        <w:rPr>
          <w:rFonts w:hint="eastAsia"/>
          <w:lang w:val="en-GB"/>
        </w:rPr>
        <w:t>以保护重大公共和私人利益</w:t>
      </w:r>
      <w:r>
        <w:rPr>
          <w:rFonts w:hint="eastAsia"/>
          <w:lang w:val="en-GB"/>
        </w:rPr>
        <w:t>，</w:t>
      </w:r>
      <w:r w:rsidR="00244AF4" w:rsidRPr="00244AF4">
        <w:rPr>
          <w:rFonts w:hint="eastAsia"/>
          <w:lang w:val="en-GB"/>
        </w:rPr>
        <w:t>包括隐私权。</w:t>
      </w:r>
      <w:r w:rsidR="00244AF4" w:rsidRPr="00244AF4">
        <w:rPr>
          <w:rFonts w:hint="eastAsia"/>
        </w:rPr>
        <w:t>仅</w:t>
      </w:r>
      <w:r w:rsidR="00244AF4" w:rsidRPr="00244AF4">
        <w:rPr>
          <w:rFonts w:hint="eastAsia"/>
          <w:lang w:val="en-GB"/>
        </w:rPr>
        <w:t>在受保护的利益面临遭到重大损害风险且损害大于获取信息的整体公共利益时</w:t>
      </w:r>
      <w:r>
        <w:rPr>
          <w:rFonts w:hint="eastAsia"/>
          <w:lang w:val="en-GB"/>
        </w:rPr>
        <w:t>，</w:t>
      </w:r>
      <w:r w:rsidR="00244AF4" w:rsidRPr="00244AF4">
        <w:rPr>
          <w:rFonts w:hint="eastAsia"/>
          <w:lang w:val="en-GB"/>
        </w:rPr>
        <w:t>方可适用例外情况。</w:t>
      </w:r>
      <w:r w:rsidR="00244AF4" w:rsidRPr="006A5AF9">
        <w:rPr>
          <w:color w:val="0000FF"/>
          <w:vertAlign w:val="superscript"/>
          <w:lang w:val="en-GB"/>
        </w:rPr>
        <w:footnoteReference w:id="56"/>
      </w:r>
      <w:r>
        <w:rPr>
          <w:rFonts w:hint="eastAsia"/>
          <w:lang w:val="en-GB"/>
        </w:rPr>
        <w:t xml:space="preserve"> </w:t>
      </w:r>
      <w:r w:rsidR="00244AF4" w:rsidRPr="00244AF4">
        <w:rPr>
          <w:rFonts w:hint="eastAsia"/>
          <w:lang w:val="en-GB"/>
        </w:rPr>
        <w:t>公共当局有责任证明信息属于例外情况的范围。</w:t>
      </w:r>
      <w:r w:rsidR="00244AF4" w:rsidRPr="006A5AF9">
        <w:rPr>
          <w:color w:val="0000FF"/>
          <w:vertAlign w:val="superscript"/>
          <w:lang w:val="en-GB"/>
        </w:rPr>
        <w:footnoteReference w:id="57"/>
      </w:r>
      <w:r>
        <w:rPr>
          <w:rFonts w:hint="eastAsia"/>
          <w:lang w:val="en-GB"/>
        </w:rPr>
        <w:t xml:space="preserve"> </w:t>
      </w:r>
      <w:r w:rsidR="00244AF4" w:rsidRPr="00244AF4">
        <w:rPr>
          <w:rFonts w:hint="eastAsia"/>
          <w:lang w:val="en-GB"/>
        </w:rPr>
        <w:t>其决定必须受到监督和审查。</w:t>
      </w:r>
    </w:p>
    <w:p w:rsidR="00244AF4" w:rsidRPr="00DE0653" w:rsidRDefault="004527D5" w:rsidP="00244AF4">
      <w:pPr>
        <w:pStyle w:val="SingleTxtGC"/>
        <w:rPr>
          <w:rFonts w:eastAsia="SimHei"/>
        </w:rPr>
      </w:pPr>
      <w:r w:rsidRPr="00DE0653">
        <w:rPr>
          <w:rFonts w:eastAsia="SimHei"/>
        </w:rPr>
        <w:t>82.</w:t>
      </w:r>
      <w:r w:rsidR="003C70F0" w:rsidRPr="00DE0653">
        <w:rPr>
          <w:rFonts w:eastAsia="SimHei"/>
        </w:rPr>
        <w:t xml:space="preserve">  </w:t>
      </w:r>
      <w:r w:rsidR="00244AF4" w:rsidRPr="00DE0653">
        <w:rPr>
          <w:rFonts w:eastAsia="SimHei"/>
          <w:bCs/>
          <w:lang w:val="en-GB"/>
        </w:rPr>
        <w:t>实用建议</w:t>
      </w:r>
      <w:r w:rsidRPr="00DE0653">
        <w:rPr>
          <w:rFonts w:eastAsia="SimHei"/>
          <w:bCs/>
          <w:lang w:val="en-GB"/>
        </w:rPr>
        <w:t>：</w:t>
      </w:r>
    </w:p>
    <w:p w:rsidR="00244AF4" w:rsidRPr="00DE0653" w:rsidRDefault="004527D5" w:rsidP="00244AF4">
      <w:pPr>
        <w:pStyle w:val="SingleTxtGC"/>
        <w:rPr>
          <w:rFonts w:eastAsia="SimHei"/>
          <w:lang w:val="en-GB"/>
        </w:rPr>
      </w:pPr>
      <w:bookmarkStart w:id="50" w:name="h.1pxezwc" w:colFirst="0" w:colLast="0"/>
      <w:bookmarkStart w:id="51" w:name="h.49x2ik5" w:colFirst="0" w:colLast="0"/>
      <w:bookmarkEnd w:id="50"/>
      <w:bookmarkEnd w:id="51"/>
      <w:r w:rsidRPr="00DE0653">
        <w:rPr>
          <w:rFonts w:eastAsia="SimHei" w:hint="eastAsia"/>
          <w:bCs/>
          <w:lang w:val="en-GB"/>
        </w:rPr>
        <w:tab/>
      </w:r>
      <w:r w:rsidRPr="00DE0653">
        <w:rPr>
          <w:rFonts w:eastAsia="SimHei"/>
          <w:bCs/>
          <w:lang w:val="en-GB"/>
        </w:rPr>
        <w:t>(a)</w:t>
      </w:r>
      <w:r w:rsidR="00244AF4" w:rsidRPr="00DE0653">
        <w:rPr>
          <w:rFonts w:eastAsia="SimHei"/>
          <w:lang w:val="en-GB"/>
        </w:rPr>
        <w:tab/>
      </w:r>
      <w:r w:rsidR="00244AF4" w:rsidRPr="00DE0653">
        <w:rPr>
          <w:rFonts w:eastAsia="SimHei" w:hint="eastAsia"/>
          <w:bCs/>
          <w:lang w:val="en-GB"/>
        </w:rPr>
        <w:t>各国应积极传播关于集会管理的重要信息。此类信息应包括</w:t>
      </w:r>
      <w:r w:rsidRPr="00DE0653">
        <w:rPr>
          <w:rFonts w:eastAsia="SimHei" w:hint="eastAsia"/>
          <w:bCs/>
          <w:lang w:val="en-GB"/>
        </w:rPr>
        <w:t>：</w:t>
      </w:r>
      <w:r w:rsidR="00244AF4" w:rsidRPr="00DE0653">
        <w:rPr>
          <w:rFonts w:eastAsia="SimHei" w:hint="eastAsia"/>
          <w:bCs/>
          <w:lang w:val="en-GB"/>
        </w:rPr>
        <w:t>关于集会管理的法律法规</w:t>
      </w:r>
      <w:r w:rsidRPr="00DE0653">
        <w:rPr>
          <w:rFonts w:eastAsia="SimHei" w:hint="eastAsia"/>
          <w:bCs/>
          <w:lang w:val="en-GB"/>
        </w:rPr>
        <w:t>；</w:t>
      </w:r>
      <w:r w:rsidR="00244AF4" w:rsidRPr="00DE0653">
        <w:rPr>
          <w:rFonts w:eastAsia="SimHei" w:hint="eastAsia"/>
          <w:bCs/>
          <w:lang w:val="en-GB"/>
        </w:rPr>
        <w:t>关于管理集会的部门和机构的职责和程序</w:t>
      </w:r>
      <w:r w:rsidRPr="00DE0653">
        <w:rPr>
          <w:rFonts w:eastAsia="SimHei" w:hint="eastAsia"/>
          <w:bCs/>
          <w:lang w:val="en-GB"/>
        </w:rPr>
        <w:t>；</w:t>
      </w:r>
      <w:r w:rsidR="00244AF4" w:rsidRPr="00DE0653">
        <w:rPr>
          <w:rFonts w:eastAsia="SimHei" w:hint="eastAsia"/>
          <w:bCs/>
          <w:lang w:val="en-GB"/>
        </w:rPr>
        <w:t>标准操作程序和政策</w:t>
      </w:r>
      <w:r w:rsidRPr="00DE0653">
        <w:rPr>
          <w:rFonts w:eastAsia="SimHei" w:hint="eastAsia"/>
          <w:bCs/>
          <w:lang w:val="en-GB"/>
        </w:rPr>
        <w:t>，</w:t>
      </w:r>
      <w:r w:rsidR="00244AF4" w:rsidRPr="00DE0653">
        <w:rPr>
          <w:rFonts w:eastAsia="SimHei" w:hint="eastAsia"/>
          <w:bCs/>
          <w:lang w:val="en-GB"/>
        </w:rPr>
        <w:t>包括关于集会治安管理行为守则</w:t>
      </w:r>
      <w:r w:rsidRPr="00DE0653">
        <w:rPr>
          <w:rFonts w:eastAsia="SimHei" w:hint="eastAsia"/>
          <w:bCs/>
          <w:lang w:val="en-GB"/>
        </w:rPr>
        <w:t>；</w:t>
      </w:r>
      <w:r w:rsidR="00244AF4" w:rsidRPr="00DE0653">
        <w:rPr>
          <w:rFonts w:eastAsia="SimHei" w:hint="eastAsia"/>
          <w:bCs/>
          <w:lang w:val="en-GB"/>
        </w:rPr>
        <w:t>用于集会治安管理的常规装备类型</w:t>
      </w:r>
      <w:r w:rsidRPr="00DE0653">
        <w:rPr>
          <w:rFonts w:eastAsia="SimHei" w:hint="eastAsia"/>
          <w:bCs/>
          <w:lang w:val="en-GB"/>
        </w:rPr>
        <w:t>；</w:t>
      </w:r>
      <w:r w:rsidR="00244AF4" w:rsidRPr="00DE0653">
        <w:rPr>
          <w:rFonts w:eastAsia="SimHei" w:hint="eastAsia"/>
          <w:bCs/>
          <w:lang w:val="en-GB"/>
        </w:rPr>
        <w:t>关于执法人员培训的信息</w:t>
      </w:r>
      <w:r w:rsidRPr="00DE0653">
        <w:rPr>
          <w:rFonts w:eastAsia="SimHei" w:hint="eastAsia"/>
          <w:bCs/>
          <w:lang w:val="en-GB"/>
        </w:rPr>
        <w:t>；</w:t>
      </w:r>
      <w:r w:rsidR="00244AF4" w:rsidRPr="00DE0653">
        <w:rPr>
          <w:rFonts w:eastAsia="SimHei" w:hint="eastAsia"/>
          <w:bCs/>
          <w:lang w:val="en-GB"/>
        </w:rPr>
        <w:t>及关于如何利用问责进程</w:t>
      </w:r>
      <w:r w:rsidRPr="00DE0653">
        <w:rPr>
          <w:rFonts w:eastAsia="SimHei" w:hint="eastAsia"/>
          <w:bCs/>
          <w:lang w:val="en-GB"/>
        </w:rPr>
        <w:t>；</w:t>
      </w:r>
    </w:p>
    <w:p w:rsidR="00244AF4" w:rsidRPr="00DE0653" w:rsidRDefault="004527D5" w:rsidP="00244AF4">
      <w:pPr>
        <w:pStyle w:val="SingleTxtGC"/>
        <w:rPr>
          <w:rFonts w:eastAsia="SimHei"/>
          <w:lang w:val="en-GB"/>
        </w:rPr>
      </w:pPr>
      <w:r w:rsidRPr="00DE0653">
        <w:rPr>
          <w:rFonts w:eastAsia="SimHei" w:hint="eastAsia"/>
          <w:bCs/>
          <w:lang w:val="en-GB"/>
        </w:rPr>
        <w:tab/>
      </w:r>
      <w:r w:rsidRPr="00DE0653">
        <w:rPr>
          <w:rFonts w:eastAsia="SimHei"/>
          <w:bCs/>
          <w:lang w:val="en-GB"/>
        </w:rPr>
        <w:t>(b)</w:t>
      </w:r>
      <w:r w:rsidR="00244AF4" w:rsidRPr="00DE0653">
        <w:rPr>
          <w:rFonts w:eastAsia="SimHei"/>
          <w:lang w:val="en-GB"/>
        </w:rPr>
        <w:tab/>
      </w:r>
      <w:r w:rsidR="00244AF4" w:rsidRPr="00DE0653">
        <w:rPr>
          <w:rFonts w:eastAsia="SimHei" w:hint="eastAsia"/>
          <w:lang w:val="en-GB"/>
        </w:rPr>
        <w:t>各国应颁布全面立法</w:t>
      </w:r>
      <w:r w:rsidRPr="00DE0653">
        <w:rPr>
          <w:rFonts w:eastAsia="SimHei" w:hint="eastAsia"/>
          <w:lang w:val="en-GB"/>
        </w:rPr>
        <w:t>(</w:t>
      </w:r>
      <w:r w:rsidR="00244AF4" w:rsidRPr="00DE0653">
        <w:rPr>
          <w:rFonts w:eastAsia="SimHei" w:hint="eastAsia"/>
          <w:lang w:val="en-GB"/>
        </w:rPr>
        <w:t>如信息自由法</w:t>
      </w:r>
      <w:r w:rsidRPr="00DE0653">
        <w:rPr>
          <w:rFonts w:eastAsia="SimHei" w:hint="eastAsia"/>
          <w:lang w:val="en-GB"/>
        </w:rPr>
        <w:t>)</w:t>
      </w:r>
      <w:r w:rsidRPr="00DE0653">
        <w:rPr>
          <w:rFonts w:eastAsia="SimHei" w:hint="eastAsia"/>
          <w:lang w:val="en-GB"/>
        </w:rPr>
        <w:t>，</w:t>
      </w:r>
      <w:r w:rsidR="00244AF4" w:rsidRPr="00DE0653">
        <w:rPr>
          <w:rFonts w:eastAsia="SimHei" w:hint="eastAsia"/>
          <w:lang w:val="en-GB"/>
        </w:rPr>
        <w:t>以依据最大限度的披露原则便利公众获取信息。各国应管理信息</w:t>
      </w:r>
      <w:r w:rsidRPr="00DE0653">
        <w:rPr>
          <w:rFonts w:eastAsia="SimHei" w:hint="eastAsia"/>
          <w:lang w:val="en-GB"/>
        </w:rPr>
        <w:t>，</w:t>
      </w:r>
      <w:r w:rsidR="00244AF4" w:rsidRPr="00DE0653">
        <w:rPr>
          <w:rFonts w:eastAsia="SimHei" w:hint="eastAsia"/>
          <w:lang w:val="en-GB"/>
        </w:rPr>
        <w:t>使信息全面而易于取用</w:t>
      </w:r>
      <w:r w:rsidRPr="00DE0653">
        <w:rPr>
          <w:rFonts w:eastAsia="SimHei" w:hint="eastAsia"/>
          <w:lang w:val="en-GB"/>
        </w:rPr>
        <w:t>，</w:t>
      </w:r>
      <w:r w:rsidR="00244AF4" w:rsidRPr="00DE0653">
        <w:rPr>
          <w:rFonts w:eastAsia="SimHei" w:hint="eastAsia"/>
          <w:lang w:val="en-GB"/>
        </w:rPr>
        <w:t>并应对所有提供信息的要求作出迅速和全面的回应</w:t>
      </w:r>
      <w:r w:rsidRPr="00DE0653">
        <w:rPr>
          <w:rFonts w:eastAsia="SimHei" w:hint="eastAsia"/>
          <w:lang w:val="en-GB"/>
        </w:rPr>
        <w:t>；</w:t>
      </w:r>
    </w:p>
    <w:p w:rsidR="004527D5" w:rsidRPr="00DE0653" w:rsidRDefault="004527D5" w:rsidP="00244AF4">
      <w:pPr>
        <w:pStyle w:val="SingleTxtGC"/>
        <w:rPr>
          <w:rFonts w:eastAsia="SimHei"/>
          <w:lang w:val="en-GB"/>
        </w:rPr>
      </w:pPr>
      <w:r w:rsidRPr="00DE0653">
        <w:rPr>
          <w:rFonts w:eastAsia="SimHei" w:hint="eastAsia"/>
          <w:bCs/>
          <w:lang w:val="en-GB"/>
        </w:rPr>
        <w:tab/>
      </w:r>
      <w:r w:rsidRPr="00DE0653">
        <w:rPr>
          <w:rFonts w:eastAsia="SimHei"/>
          <w:bCs/>
          <w:lang w:val="en-GB"/>
        </w:rPr>
        <w:t>(c)</w:t>
      </w:r>
      <w:r w:rsidR="00244AF4" w:rsidRPr="00DE0653">
        <w:rPr>
          <w:rFonts w:eastAsia="SimHei"/>
          <w:lang w:val="en-GB"/>
        </w:rPr>
        <w:tab/>
      </w:r>
      <w:r w:rsidR="00244AF4" w:rsidRPr="00DE0653">
        <w:rPr>
          <w:rFonts w:eastAsia="SimHei" w:hint="eastAsia"/>
          <w:lang w:val="en-GB"/>
        </w:rPr>
        <w:t>各国应建立一个有效的监督机制</w:t>
      </w:r>
      <w:r w:rsidRPr="00DE0653">
        <w:rPr>
          <w:rFonts w:eastAsia="SimHei" w:hint="eastAsia"/>
          <w:lang w:val="en-GB"/>
        </w:rPr>
        <w:t>，</w:t>
      </w:r>
      <w:r w:rsidR="00244AF4" w:rsidRPr="00DE0653">
        <w:rPr>
          <w:rFonts w:eastAsia="SimHei" w:hint="eastAsia"/>
          <w:lang w:val="en-GB"/>
        </w:rPr>
        <w:t>除其他外</w:t>
      </w:r>
      <w:r w:rsidRPr="00DE0653">
        <w:rPr>
          <w:rFonts w:eastAsia="SimHei" w:hint="eastAsia"/>
          <w:lang w:val="en-GB"/>
        </w:rPr>
        <w:t>，</w:t>
      </w:r>
      <w:r w:rsidR="00244AF4" w:rsidRPr="00DE0653">
        <w:rPr>
          <w:rFonts w:eastAsia="SimHei" w:hint="eastAsia"/>
          <w:lang w:val="en-GB"/>
        </w:rPr>
        <w:t>有权受理和调查投诉并在其支持申请人或申诉人的情况下</w:t>
      </w:r>
      <w:r w:rsidRPr="00DE0653">
        <w:rPr>
          <w:rFonts w:eastAsia="SimHei" w:hint="eastAsia"/>
          <w:lang w:val="en-GB"/>
        </w:rPr>
        <w:t>，</w:t>
      </w:r>
      <w:r w:rsidR="00244AF4" w:rsidRPr="00DE0653">
        <w:rPr>
          <w:rFonts w:eastAsia="SimHei" w:hint="eastAsia"/>
          <w:lang w:val="en-GB"/>
        </w:rPr>
        <w:t>做出要求发布信息的有约束力的命令。</w:t>
      </w:r>
    </w:p>
    <w:p w:rsidR="00244AF4" w:rsidRPr="00244AF4" w:rsidRDefault="00244AF4" w:rsidP="004527D5">
      <w:pPr>
        <w:pStyle w:val="H1GC"/>
        <w:rPr>
          <w:lang w:val="en-GB"/>
        </w:rPr>
      </w:pPr>
      <w:bookmarkStart w:id="52" w:name="_Toc309730749"/>
      <w:bookmarkStart w:id="53" w:name="_Toc309730884"/>
      <w:bookmarkStart w:id="54" w:name="_Toc437525379"/>
      <w:bookmarkStart w:id="55" w:name="_Toc440290946"/>
      <w:r w:rsidRPr="00244AF4">
        <w:rPr>
          <w:lang w:val="en-GB"/>
        </w:rPr>
        <w:lastRenderedPageBreak/>
        <w:tab/>
      </w:r>
      <w:r w:rsidR="004527D5">
        <w:rPr>
          <w:lang w:val="en-GB"/>
        </w:rPr>
        <w:t>I</w:t>
      </w:r>
      <w:r w:rsidRPr="00244AF4">
        <w:rPr>
          <w:lang w:val="en-GB"/>
        </w:rPr>
        <w:t>.</w:t>
      </w:r>
      <w:r w:rsidRPr="00244AF4">
        <w:rPr>
          <w:lang w:val="en-GB"/>
        </w:rPr>
        <w:tab/>
      </w:r>
      <w:bookmarkEnd w:id="52"/>
      <w:bookmarkEnd w:id="53"/>
      <w:bookmarkEnd w:id="54"/>
      <w:bookmarkEnd w:id="55"/>
      <w:r w:rsidRPr="00244AF4">
        <w:rPr>
          <w:rFonts w:hint="eastAsia"/>
          <w:lang w:val="en-GB"/>
        </w:rPr>
        <w:t>工商企业有责任在集会背景下尊重人权</w:t>
      </w:r>
    </w:p>
    <w:p w:rsidR="00244AF4" w:rsidRPr="00244AF4" w:rsidRDefault="004527D5" w:rsidP="00244AF4">
      <w:pPr>
        <w:pStyle w:val="SingleTxtGC"/>
      </w:pPr>
      <w:r>
        <w:t>83.</w:t>
      </w:r>
      <w:r w:rsidR="003C70F0">
        <w:t xml:space="preserve">  </w:t>
      </w:r>
      <w:r w:rsidR="00244AF4" w:rsidRPr="00244AF4">
        <w:rPr>
          <w:rFonts w:hint="eastAsia"/>
          <w:lang w:val="en-GB"/>
        </w:rPr>
        <w:t>工商企业有责任尊重人权</w:t>
      </w:r>
      <w:r>
        <w:rPr>
          <w:rFonts w:hint="eastAsia"/>
          <w:lang w:val="en-GB"/>
        </w:rPr>
        <w:t>，</w:t>
      </w:r>
      <w:r w:rsidR="00244AF4" w:rsidRPr="00244AF4">
        <w:rPr>
          <w:rFonts w:hint="eastAsia"/>
          <w:lang w:val="en-GB"/>
        </w:rPr>
        <w:t>包括在集会背景下。这要求工商企业避免通过其本身活动造成或加剧负面人权影响</w:t>
      </w:r>
      <w:r>
        <w:rPr>
          <w:rFonts w:hint="eastAsia"/>
          <w:lang w:val="en-GB"/>
        </w:rPr>
        <w:t>，</w:t>
      </w:r>
      <w:r w:rsidR="00244AF4" w:rsidRPr="00244AF4">
        <w:rPr>
          <w:rFonts w:hint="eastAsia"/>
          <w:lang w:val="en-GB"/>
        </w:rPr>
        <w:t>并在自身卷入时</w:t>
      </w:r>
      <w:r>
        <w:rPr>
          <w:rFonts w:hint="eastAsia"/>
          <w:lang w:val="en-GB"/>
        </w:rPr>
        <w:t>，</w:t>
      </w:r>
      <w:r w:rsidR="00244AF4" w:rsidRPr="00244AF4">
        <w:rPr>
          <w:rFonts w:hint="eastAsia"/>
          <w:lang w:val="en-GB"/>
        </w:rPr>
        <w:t>消除负面人权影响。</w:t>
      </w:r>
      <w:r w:rsidR="00244AF4" w:rsidRPr="006A5AF9">
        <w:rPr>
          <w:color w:val="0000FF"/>
          <w:vertAlign w:val="superscript"/>
          <w:lang w:val="en-GB"/>
        </w:rPr>
        <w:footnoteReference w:id="58"/>
      </w:r>
      <w:r w:rsidR="00244AF4" w:rsidRPr="00244AF4">
        <w:rPr>
          <w:rFonts w:hint="eastAsia"/>
          <w:lang w:val="en-GB"/>
        </w:rPr>
        <w:t>这涵盖那些与企业业务、产品或服务有直接联系的影响</w:t>
      </w:r>
      <w:r>
        <w:rPr>
          <w:rFonts w:hint="eastAsia"/>
          <w:lang w:val="en-GB"/>
        </w:rPr>
        <w:t>，</w:t>
      </w:r>
      <w:r w:rsidR="00244AF4" w:rsidRPr="00244AF4">
        <w:rPr>
          <w:rFonts w:hint="eastAsia"/>
          <w:lang w:val="en-GB"/>
        </w:rPr>
        <w:t>例如企业供应用于集会治安管理的低致命性武器或装备或监控技术。</w:t>
      </w:r>
    </w:p>
    <w:p w:rsidR="00244AF4" w:rsidRPr="00244AF4" w:rsidRDefault="004527D5" w:rsidP="00244AF4">
      <w:pPr>
        <w:pStyle w:val="SingleTxtGC"/>
      </w:pPr>
      <w:r>
        <w:t>84.</w:t>
      </w:r>
      <w:r w:rsidR="003C70F0">
        <w:t xml:space="preserve">  </w:t>
      </w:r>
      <w:r w:rsidR="00244AF4" w:rsidRPr="00244AF4">
        <w:rPr>
          <w:rFonts w:hint="eastAsia"/>
          <w:lang w:val="en-GB"/>
        </w:rPr>
        <w:t>公共场所</w:t>
      </w:r>
      <w:r>
        <w:rPr>
          <w:rFonts w:hint="eastAsia"/>
          <w:lang w:val="en-GB"/>
        </w:rPr>
        <w:t>(</w:t>
      </w:r>
      <w:r w:rsidR="00244AF4" w:rsidRPr="00244AF4">
        <w:rPr>
          <w:rFonts w:hint="eastAsia"/>
          <w:lang w:val="en-GB"/>
        </w:rPr>
        <w:t>例如购物中心、步行区和广场</w:t>
      </w:r>
      <w:r>
        <w:rPr>
          <w:rFonts w:hint="eastAsia"/>
          <w:lang w:val="en-GB"/>
        </w:rPr>
        <w:t>)</w:t>
      </w:r>
      <w:r w:rsidR="00244AF4" w:rsidRPr="00244AF4">
        <w:rPr>
          <w:rFonts w:hint="eastAsia"/>
          <w:lang w:val="en-GB"/>
        </w:rPr>
        <w:t>的私有化趋势意味着集会通常发生在工商企业拥有的产业上</w:t>
      </w:r>
      <w:r>
        <w:rPr>
          <w:rFonts w:hint="eastAsia"/>
          <w:lang w:val="en-GB"/>
        </w:rPr>
        <w:t>，</w:t>
      </w:r>
      <w:r w:rsidR="00244AF4" w:rsidRPr="00244AF4">
        <w:rPr>
          <w:rFonts w:hint="eastAsia"/>
          <w:lang w:val="en-GB"/>
        </w:rPr>
        <w:t>有时被称为私有公共空间。虽然私人土地所有者通常有权决定谁可进入其产业</w:t>
      </w:r>
      <w:r>
        <w:rPr>
          <w:rFonts w:hint="eastAsia"/>
          <w:lang w:val="en-GB"/>
        </w:rPr>
        <w:t>，</w:t>
      </w:r>
      <w:r w:rsidR="00244AF4" w:rsidRPr="00244AF4">
        <w:rPr>
          <w:rFonts w:hint="eastAsia"/>
          <w:lang w:val="en-GB"/>
        </w:rPr>
        <w:t>但与集会有关的权利可能要求即便在个人间关系领域也需要采取积极的保护措施。</w:t>
      </w:r>
      <w:r w:rsidR="00244AF4" w:rsidRPr="006A5AF9">
        <w:rPr>
          <w:color w:val="0000FF"/>
          <w:vertAlign w:val="superscript"/>
          <w:lang w:val="en-GB"/>
        </w:rPr>
        <w:footnoteReference w:id="59"/>
      </w:r>
    </w:p>
    <w:p w:rsidR="00244AF4" w:rsidRPr="00244AF4" w:rsidRDefault="004527D5" w:rsidP="00244AF4">
      <w:pPr>
        <w:pStyle w:val="SingleTxtGC"/>
      </w:pPr>
      <w:r>
        <w:t>85.</w:t>
      </w:r>
      <w:r w:rsidR="003C70F0">
        <w:t xml:space="preserve">  </w:t>
      </w:r>
      <w:r w:rsidR="00244AF4" w:rsidRPr="00244AF4">
        <w:rPr>
          <w:rFonts w:hint="eastAsia"/>
          <w:lang w:val="en-GB"/>
        </w:rPr>
        <w:t>工商企业在集会治安管理方面也发挥着日益突出的作用。例如</w:t>
      </w:r>
      <w:r>
        <w:rPr>
          <w:rFonts w:hint="eastAsia"/>
          <w:lang w:val="en-GB"/>
        </w:rPr>
        <w:t>，</w:t>
      </w:r>
      <w:r w:rsidR="00244AF4" w:rsidRPr="00244AF4">
        <w:rPr>
          <w:rFonts w:hint="eastAsia"/>
          <w:lang w:val="en-GB"/>
        </w:rPr>
        <w:t>民间私营保安服务公司在集会期间保护私有产业或资产时可发挥治安类作用</w:t>
      </w:r>
      <w:r>
        <w:rPr>
          <w:rFonts w:hint="eastAsia"/>
          <w:lang w:val="en-GB"/>
        </w:rPr>
        <w:t>，</w:t>
      </w:r>
      <w:r w:rsidR="00244AF4" w:rsidRPr="00244AF4">
        <w:rPr>
          <w:rFonts w:hint="eastAsia"/>
          <w:lang w:val="en-GB"/>
        </w:rPr>
        <w:t>并且私营公司往往发挥监控作用</w:t>
      </w:r>
      <w:r>
        <w:rPr>
          <w:rFonts w:hint="eastAsia"/>
          <w:lang w:val="en-GB"/>
        </w:rPr>
        <w:t>(</w:t>
      </w:r>
      <w:r w:rsidR="00244AF4" w:rsidRPr="00244AF4">
        <w:rPr>
          <w:rFonts w:hint="eastAsia"/>
          <w:lang w:val="en-GB"/>
        </w:rPr>
        <w:t>见</w:t>
      </w:r>
      <w:r>
        <w:rPr>
          <w:rFonts w:hint="eastAsia"/>
          <w:lang w:val="en-GB"/>
        </w:rPr>
        <w:t>A/HRC/23/39/Add</w:t>
      </w:r>
      <w:r w:rsidR="00244AF4" w:rsidRPr="00244AF4">
        <w:rPr>
          <w:rFonts w:hint="eastAsia"/>
          <w:lang w:val="en-GB"/>
        </w:rPr>
        <w:t>.</w:t>
      </w:r>
      <w:r>
        <w:rPr>
          <w:rFonts w:hint="eastAsia"/>
          <w:lang w:val="en-GB"/>
        </w:rPr>
        <w:t>1,</w:t>
      </w:r>
      <w:r w:rsidR="00B46406">
        <w:rPr>
          <w:rFonts w:hint="eastAsia"/>
          <w:lang w:val="en-GB"/>
        </w:rPr>
        <w:t xml:space="preserve"> </w:t>
      </w:r>
      <w:r w:rsidR="00244AF4" w:rsidRPr="00244AF4">
        <w:rPr>
          <w:rFonts w:hint="eastAsia"/>
          <w:lang w:val="en-GB"/>
        </w:rPr>
        <w:t>第</w:t>
      </w:r>
      <w:r>
        <w:rPr>
          <w:rFonts w:hint="eastAsia"/>
          <w:lang w:val="en-GB"/>
        </w:rPr>
        <w:t>33</w:t>
      </w:r>
      <w:r w:rsidR="00244AF4" w:rsidRPr="00244AF4">
        <w:rPr>
          <w:rFonts w:hint="eastAsia"/>
          <w:lang w:val="en-GB"/>
        </w:rPr>
        <w:t>段</w:t>
      </w:r>
      <w:r>
        <w:rPr>
          <w:rFonts w:hint="eastAsia"/>
          <w:lang w:val="en-GB"/>
        </w:rPr>
        <w:t>)</w:t>
      </w:r>
      <w:r w:rsidR="00244AF4" w:rsidRPr="00244AF4">
        <w:rPr>
          <w:rFonts w:hint="eastAsia"/>
          <w:lang w:val="en-GB"/>
        </w:rPr>
        <w:t>。工商业实体应恪守人权尽责</w:t>
      </w:r>
      <w:r>
        <w:rPr>
          <w:rFonts w:hint="eastAsia"/>
          <w:lang w:val="en-GB"/>
        </w:rPr>
        <w:t>，</w:t>
      </w:r>
      <w:r w:rsidR="00244AF4" w:rsidRPr="006A5AF9">
        <w:rPr>
          <w:color w:val="0000FF"/>
          <w:vertAlign w:val="superscript"/>
          <w:lang w:val="en-GB"/>
        </w:rPr>
        <w:footnoteReference w:id="60"/>
      </w:r>
      <w:r w:rsidR="00B46406">
        <w:rPr>
          <w:rFonts w:hint="eastAsia"/>
          <w:lang w:val="en-GB"/>
        </w:rPr>
        <w:t xml:space="preserve"> </w:t>
      </w:r>
      <w:r w:rsidR="00244AF4" w:rsidRPr="00244AF4">
        <w:rPr>
          <w:rFonts w:hint="eastAsia"/>
          <w:lang w:val="en-GB"/>
        </w:rPr>
        <w:t>查明对集会和相关权利可能产生的影响可能减轻这些风险。民间私营保安服务公司不应在集会中履行治安类的职能。但是</w:t>
      </w:r>
      <w:r>
        <w:rPr>
          <w:rFonts w:hint="eastAsia"/>
          <w:lang w:val="en-GB"/>
        </w:rPr>
        <w:t>，</w:t>
      </w:r>
      <w:r w:rsidR="00244AF4" w:rsidRPr="00244AF4">
        <w:rPr>
          <w:rFonts w:hint="eastAsia"/>
          <w:lang w:val="en-GB"/>
        </w:rPr>
        <w:t>如果履行这类智能</w:t>
      </w:r>
      <w:r>
        <w:rPr>
          <w:rFonts w:hint="eastAsia"/>
          <w:lang w:val="en-GB"/>
        </w:rPr>
        <w:t>，</w:t>
      </w:r>
      <w:r w:rsidR="00244AF4" w:rsidRPr="00244AF4">
        <w:rPr>
          <w:rFonts w:hint="eastAsia"/>
          <w:lang w:val="en-GB"/>
        </w:rPr>
        <w:t>这些公司必须尊重和保护人权</w:t>
      </w:r>
      <w:r>
        <w:rPr>
          <w:rFonts w:hint="eastAsia"/>
          <w:lang w:val="en-GB"/>
        </w:rPr>
        <w:t>，</w:t>
      </w:r>
      <w:r w:rsidR="00244AF4" w:rsidRPr="006A5AF9">
        <w:rPr>
          <w:color w:val="0000FF"/>
          <w:vertAlign w:val="superscript"/>
          <w:lang w:val="en-GB"/>
        </w:rPr>
        <w:footnoteReference w:id="61"/>
      </w:r>
      <w:r w:rsidR="00B46406">
        <w:rPr>
          <w:rFonts w:hint="eastAsia"/>
          <w:lang w:val="en-GB"/>
        </w:rPr>
        <w:t xml:space="preserve"> </w:t>
      </w:r>
      <w:r w:rsidR="00244AF4" w:rsidRPr="00244AF4">
        <w:rPr>
          <w:rFonts w:hint="eastAsia"/>
          <w:lang w:val="en-GB"/>
        </w:rPr>
        <w:t>并应遵守最高的自愿行为标准。</w:t>
      </w:r>
      <w:r w:rsidR="00244AF4" w:rsidRPr="006A5AF9">
        <w:rPr>
          <w:color w:val="0000FF"/>
          <w:vertAlign w:val="superscript"/>
          <w:lang w:val="en-GB"/>
        </w:rPr>
        <w:footnoteReference w:id="62"/>
      </w:r>
    </w:p>
    <w:p w:rsidR="00244AF4" w:rsidRPr="00244AF4" w:rsidRDefault="004527D5" w:rsidP="00244AF4">
      <w:pPr>
        <w:pStyle w:val="SingleTxtGC"/>
      </w:pPr>
      <w:r>
        <w:t>86.</w:t>
      </w:r>
      <w:r w:rsidR="003C70F0">
        <w:t xml:space="preserve">  </w:t>
      </w:r>
      <w:r w:rsidR="00244AF4" w:rsidRPr="00244AF4">
        <w:rPr>
          <w:rFonts w:hint="eastAsia"/>
          <w:lang w:val="en-GB"/>
        </w:rPr>
        <w:t>工商业实体通常以反骚扰、侵占或诽谤法为依据</w:t>
      </w:r>
      <w:r>
        <w:rPr>
          <w:rFonts w:hint="eastAsia"/>
          <w:lang w:val="en-GB"/>
        </w:rPr>
        <w:t>，</w:t>
      </w:r>
      <w:r w:rsidR="00244AF4" w:rsidRPr="00244AF4">
        <w:rPr>
          <w:rFonts w:hint="eastAsia"/>
          <w:lang w:val="en-GB"/>
        </w:rPr>
        <w:t>要求针对集会组织者和参与者的禁令和其他民事补救办法</w:t>
      </w:r>
      <w:r>
        <w:rPr>
          <w:rFonts w:hint="eastAsia"/>
          <w:lang w:val="en-GB"/>
        </w:rPr>
        <w:t>，</w:t>
      </w:r>
      <w:r w:rsidR="00244AF4" w:rsidRPr="00244AF4">
        <w:rPr>
          <w:rFonts w:hint="eastAsia"/>
          <w:lang w:val="en-GB"/>
        </w:rPr>
        <w:t>有时被称为针对公众参与的战略性诉讼。各国有义务确保正当程序</w:t>
      </w:r>
      <w:r>
        <w:rPr>
          <w:rFonts w:hint="eastAsia"/>
          <w:lang w:val="en-GB"/>
        </w:rPr>
        <w:t>，</w:t>
      </w:r>
      <w:r w:rsidR="00244AF4" w:rsidRPr="00244AF4">
        <w:rPr>
          <w:rFonts w:hint="eastAsia"/>
          <w:lang w:val="en-GB"/>
        </w:rPr>
        <w:t>并保护人民免受缺乏依据的民事诉讼。</w:t>
      </w:r>
    </w:p>
    <w:p w:rsidR="00244AF4" w:rsidRPr="00244AF4" w:rsidRDefault="004527D5" w:rsidP="00244AF4">
      <w:pPr>
        <w:pStyle w:val="SingleTxtGC"/>
      </w:pPr>
      <w:r>
        <w:t>87.</w:t>
      </w:r>
      <w:r w:rsidR="003C70F0">
        <w:t xml:space="preserve">  </w:t>
      </w:r>
      <w:r w:rsidR="00244AF4" w:rsidRPr="00244AF4">
        <w:rPr>
          <w:rFonts w:hint="eastAsia"/>
          <w:lang w:val="en-GB"/>
        </w:rPr>
        <w:t>国家可对非国家行为方侵犯人权的行为承担责任</w:t>
      </w:r>
      <w:r>
        <w:rPr>
          <w:rFonts w:hint="eastAsia"/>
          <w:lang w:val="en-GB"/>
        </w:rPr>
        <w:t>，</w:t>
      </w:r>
      <w:r w:rsidR="00244AF4" w:rsidRPr="00244AF4">
        <w:rPr>
          <w:rFonts w:hint="eastAsia"/>
          <w:lang w:val="en-GB"/>
        </w:rPr>
        <w:t>前提是国家</w:t>
      </w:r>
      <w:r>
        <w:rPr>
          <w:rFonts w:hint="eastAsia"/>
          <w:lang w:val="en-GB"/>
        </w:rPr>
        <w:t>：</w:t>
      </w:r>
      <w:r w:rsidR="00244AF4" w:rsidRPr="00244AF4">
        <w:rPr>
          <w:rFonts w:hint="eastAsia"/>
          <w:lang w:val="en-GB"/>
        </w:rPr>
        <w:t>批准、支持或默许这些行为</w:t>
      </w:r>
      <w:r>
        <w:rPr>
          <w:rFonts w:hint="eastAsia"/>
          <w:lang w:val="en-GB"/>
        </w:rPr>
        <w:t>；</w:t>
      </w:r>
      <w:r w:rsidR="00244AF4" w:rsidRPr="00244AF4">
        <w:rPr>
          <w:rFonts w:hint="eastAsia"/>
          <w:lang w:val="en-GB"/>
        </w:rPr>
        <w:t>未能恪尽职守防止侵犯行为</w:t>
      </w:r>
      <w:r>
        <w:rPr>
          <w:rFonts w:hint="eastAsia"/>
          <w:lang w:val="en-GB"/>
        </w:rPr>
        <w:t>；</w:t>
      </w:r>
      <w:r w:rsidR="00244AF4" w:rsidRPr="00244AF4">
        <w:rPr>
          <w:rFonts w:hint="eastAsia"/>
          <w:lang w:val="en-GB"/>
        </w:rPr>
        <w:t>或未能确保进行适当调查和问责。各国还有义务采取适当措施</w:t>
      </w:r>
      <w:r>
        <w:rPr>
          <w:rFonts w:hint="eastAsia"/>
          <w:lang w:val="en-GB"/>
        </w:rPr>
        <w:t>，</w:t>
      </w:r>
      <w:r w:rsidR="00244AF4" w:rsidRPr="00244AF4">
        <w:rPr>
          <w:rFonts w:hint="eastAsia"/>
          <w:lang w:val="en-GB"/>
        </w:rPr>
        <w:t>对工商企业的相关不当行为进行预防、调查和提供有效补救</w:t>
      </w:r>
      <w:r>
        <w:rPr>
          <w:rFonts w:hint="eastAsia"/>
          <w:lang w:val="en-GB"/>
        </w:rPr>
        <w:t>，</w:t>
      </w:r>
      <w:r w:rsidR="00244AF4" w:rsidRPr="00244AF4">
        <w:rPr>
          <w:rFonts w:hint="eastAsia"/>
          <w:lang w:val="en-GB"/>
        </w:rPr>
        <w:t>并追究在该国境内或管辖范围造成或加剧任意剥夺生命的私人当事方的责任。</w:t>
      </w:r>
    </w:p>
    <w:p w:rsidR="00244AF4" w:rsidRPr="00DE0653" w:rsidRDefault="004527D5" w:rsidP="00244AF4">
      <w:pPr>
        <w:pStyle w:val="SingleTxtGC"/>
        <w:rPr>
          <w:rFonts w:eastAsia="SimHei"/>
        </w:rPr>
      </w:pPr>
      <w:r w:rsidRPr="00DE0653">
        <w:rPr>
          <w:rFonts w:eastAsia="SimHei"/>
        </w:rPr>
        <w:t>88.</w:t>
      </w:r>
      <w:r w:rsidR="003C70F0" w:rsidRPr="00DE0653">
        <w:rPr>
          <w:rFonts w:eastAsia="SimHei"/>
        </w:rPr>
        <w:t xml:space="preserve">  </w:t>
      </w:r>
      <w:r w:rsidR="00244AF4" w:rsidRPr="00DE0653">
        <w:rPr>
          <w:rFonts w:eastAsia="SimHei"/>
          <w:bCs/>
          <w:lang w:val="en-GB"/>
        </w:rPr>
        <w:t>实用建议</w:t>
      </w:r>
      <w:r w:rsidRPr="00DE0653">
        <w:rPr>
          <w:rFonts w:eastAsia="SimHei"/>
          <w:bCs/>
          <w:lang w:val="en-GB"/>
        </w:rPr>
        <w:t>：</w:t>
      </w:r>
    </w:p>
    <w:p w:rsidR="00244AF4" w:rsidRPr="00DE0653" w:rsidRDefault="00244AF4" w:rsidP="00244AF4">
      <w:pPr>
        <w:pStyle w:val="SingleTxtGC"/>
        <w:rPr>
          <w:rFonts w:eastAsia="SimHei"/>
          <w:bCs/>
        </w:rPr>
      </w:pPr>
      <w:r w:rsidRPr="00DE0653">
        <w:rPr>
          <w:rFonts w:eastAsia="SimHei"/>
          <w:lang w:val="en-GB"/>
        </w:rPr>
        <w:tab/>
      </w:r>
      <w:r w:rsidR="004527D5" w:rsidRPr="00DE0653">
        <w:rPr>
          <w:rFonts w:eastAsia="SimHei"/>
          <w:lang w:val="en-GB"/>
        </w:rPr>
        <w:t>(a)</w:t>
      </w:r>
      <w:r w:rsidRPr="00DE0653">
        <w:rPr>
          <w:rFonts w:eastAsia="SimHei"/>
          <w:lang w:val="en-GB"/>
        </w:rPr>
        <w:tab/>
      </w:r>
      <w:r w:rsidRPr="00DE0653">
        <w:rPr>
          <w:rFonts w:eastAsia="SimHei" w:hint="eastAsia"/>
          <w:bCs/>
          <w:lang w:val="en-GB"/>
        </w:rPr>
        <w:t>各国应保护个人在集会背景下的权利免受工商企业的干涉</w:t>
      </w:r>
      <w:r w:rsidR="004527D5" w:rsidRPr="00DE0653">
        <w:rPr>
          <w:rFonts w:eastAsia="SimHei" w:hint="eastAsia"/>
          <w:bCs/>
          <w:lang w:val="en-GB"/>
        </w:rPr>
        <w:t>，</w:t>
      </w:r>
      <w:r w:rsidRPr="00DE0653">
        <w:rPr>
          <w:rFonts w:eastAsia="SimHei" w:hint="eastAsia"/>
          <w:bCs/>
          <w:lang w:val="en-GB"/>
        </w:rPr>
        <w:t>包括采取步骤遵守《工商业与人权指导原则》阐明的责任</w:t>
      </w:r>
      <w:r w:rsidR="004527D5" w:rsidRPr="00DE0653">
        <w:rPr>
          <w:rFonts w:eastAsia="SimHei" w:hint="eastAsia"/>
          <w:bCs/>
          <w:lang w:val="en-GB"/>
        </w:rPr>
        <w:t>；</w:t>
      </w:r>
    </w:p>
    <w:p w:rsidR="00244AF4" w:rsidRPr="00DE0653" w:rsidRDefault="00244AF4" w:rsidP="00244AF4">
      <w:pPr>
        <w:pStyle w:val="SingleTxtGC"/>
        <w:rPr>
          <w:rFonts w:eastAsia="SimHei"/>
          <w:bCs/>
        </w:rPr>
      </w:pPr>
      <w:r w:rsidRPr="00DE0653">
        <w:rPr>
          <w:rFonts w:eastAsia="SimHei"/>
          <w:lang w:val="en-GB"/>
        </w:rPr>
        <w:lastRenderedPageBreak/>
        <w:tab/>
      </w:r>
      <w:r w:rsidR="004527D5" w:rsidRPr="00DE0653">
        <w:rPr>
          <w:rFonts w:eastAsia="SimHei"/>
          <w:lang w:val="en-GB"/>
        </w:rPr>
        <w:t>(b)</w:t>
      </w:r>
      <w:r w:rsidRPr="00DE0653">
        <w:rPr>
          <w:rFonts w:eastAsia="SimHei"/>
          <w:lang w:val="en-GB"/>
        </w:rPr>
        <w:tab/>
      </w:r>
      <w:r w:rsidRPr="00DE0653">
        <w:rPr>
          <w:rFonts w:eastAsia="SimHei" w:hint="eastAsia"/>
          <w:bCs/>
          <w:lang w:val="en-GB"/>
        </w:rPr>
        <w:t>如果私有空间向公众开放并发挥与公共空间类似的功能</w:t>
      </w:r>
      <w:r w:rsidR="004527D5" w:rsidRPr="00DE0653">
        <w:rPr>
          <w:rFonts w:eastAsia="SimHei" w:hint="eastAsia"/>
          <w:bCs/>
          <w:lang w:val="en-GB"/>
        </w:rPr>
        <w:t>，</w:t>
      </w:r>
      <w:r w:rsidRPr="00DE0653">
        <w:rPr>
          <w:rFonts w:eastAsia="SimHei" w:hint="eastAsia"/>
          <w:bCs/>
          <w:lang w:val="en-GB"/>
        </w:rPr>
        <w:t>为了集会和言论自由权利的目的</w:t>
      </w:r>
      <w:r w:rsidR="004527D5" w:rsidRPr="00DE0653">
        <w:rPr>
          <w:rFonts w:eastAsia="SimHei" w:hint="eastAsia"/>
          <w:bCs/>
          <w:lang w:val="en-GB"/>
        </w:rPr>
        <w:t>，</w:t>
      </w:r>
      <w:r w:rsidRPr="00DE0653">
        <w:rPr>
          <w:rFonts w:eastAsia="SimHei" w:hint="eastAsia"/>
          <w:bCs/>
          <w:lang w:val="en-GB"/>
        </w:rPr>
        <w:t>这些空间应被视为公共空间</w:t>
      </w:r>
      <w:r w:rsidR="004527D5" w:rsidRPr="00DE0653">
        <w:rPr>
          <w:rFonts w:eastAsia="SimHei" w:hint="eastAsia"/>
          <w:bCs/>
          <w:lang w:val="en-GB"/>
        </w:rPr>
        <w:t>；</w:t>
      </w:r>
    </w:p>
    <w:p w:rsidR="00244AF4" w:rsidRPr="00DE0653" w:rsidRDefault="00244AF4" w:rsidP="00244AF4">
      <w:pPr>
        <w:pStyle w:val="SingleTxtGC"/>
        <w:rPr>
          <w:rFonts w:eastAsia="SimHei"/>
          <w:bCs/>
        </w:rPr>
      </w:pPr>
      <w:r w:rsidRPr="00DE0653">
        <w:rPr>
          <w:rFonts w:eastAsia="SimHei"/>
          <w:lang w:val="en-GB"/>
        </w:rPr>
        <w:tab/>
      </w:r>
      <w:r w:rsidR="004527D5" w:rsidRPr="00DE0653">
        <w:rPr>
          <w:rFonts w:eastAsia="SimHei"/>
          <w:lang w:val="en-GB"/>
        </w:rPr>
        <w:t>(c)</w:t>
      </w:r>
      <w:r w:rsidRPr="00DE0653">
        <w:rPr>
          <w:rFonts w:eastAsia="SimHei"/>
          <w:lang w:val="en-GB"/>
        </w:rPr>
        <w:tab/>
      </w:r>
      <w:r w:rsidRPr="00DE0653">
        <w:rPr>
          <w:rFonts w:eastAsia="SimHei" w:hint="eastAsia"/>
          <w:bCs/>
          <w:lang w:val="en-GB"/>
        </w:rPr>
        <w:t>各国应对集会组织者和参与者进行保护</w:t>
      </w:r>
      <w:r w:rsidR="004527D5" w:rsidRPr="00DE0653">
        <w:rPr>
          <w:rFonts w:eastAsia="SimHei" w:hint="eastAsia"/>
          <w:bCs/>
          <w:lang w:val="en-GB"/>
        </w:rPr>
        <w:t>，</w:t>
      </w:r>
      <w:r w:rsidRPr="00DE0653">
        <w:rPr>
          <w:rFonts w:eastAsia="SimHei" w:hint="eastAsia"/>
          <w:bCs/>
          <w:lang w:val="en-GB"/>
        </w:rPr>
        <w:t>使其免受轻率提起的民事诉讼</w:t>
      </w:r>
      <w:r w:rsidR="004527D5" w:rsidRPr="00DE0653">
        <w:rPr>
          <w:rFonts w:eastAsia="SimHei" w:hint="eastAsia"/>
          <w:bCs/>
          <w:lang w:val="en-GB"/>
        </w:rPr>
        <w:t>，</w:t>
      </w:r>
      <w:r w:rsidRPr="00DE0653">
        <w:rPr>
          <w:rFonts w:eastAsia="SimHei" w:hint="eastAsia"/>
          <w:bCs/>
          <w:lang w:val="en-GB"/>
        </w:rPr>
        <w:t>或旨在对公众参与形成寒蝉效应的民事诉讼。</w:t>
      </w:r>
    </w:p>
    <w:p w:rsidR="00244AF4" w:rsidRPr="00244AF4" w:rsidRDefault="00244AF4" w:rsidP="00B46406">
      <w:pPr>
        <w:pStyle w:val="H1GC"/>
        <w:rPr>
          <w:lang w:val="en-GB"/>
        </w:rPr>
      </w:pPr>
      <w:bookmarkStart w:id="56" w:name="_Toc309730750"/>
      <w:bookmarkStart w:id="57" w:name="_Toc309730885"/>
      <w:bookmarkStart w:id="58" w:name="_Toc437525380"/>
      <w:bookmarkStart w:id="59" w:name="_Toc440290947"/>
      <w:r w:rsidRPr="00244AF4">
        <w:rPr>
          <w:lang w:val="en-GB"/>
        </w:rPr>
        <w:tab/>
      </w:r>
      <w:r w:rsidR="004527D5">
        <w:rPr>
          <w:lang w:val="en-GB"/>
        </w:rPr>
        <w:t>J</w:t>
      </w:r>
      <w:r w:rsidRPr="00244AF4">
        <w:rPr>
          <w:lang w:val="en-GB"/>
        </w:rPr>
        <w:t>.</w:t>
      </w:r>
      <w:r w:rsidRPr="00244AF4">
        <w:rPr>
          <w:lang w:val="en-GB"/>
        </w:rPr>
        <w:tab/>
      </w:r>
      <w:bookmarkEnd w:id="56"/>
      <w:bookmarkEnd w:id="57"/>
      <w:bookmarkEnd w:id="58"/>
      <w:bookmarkEnd w:id="59"/>
      <w:r w:rsidRPr="00244AF4">
        <w:rPr>
          <w:rFonts w:hint="eastAsia"/>
          <w:lang w:val="en-GB"/>
        </w:rPr>
        <w:t>应当追究国家及国家机构对其与集会有关的行为的责任</w:t>
      </w:r>
    </w:p>
    <w:p w:rsidR="00244AF4" w:rsidRPr="00244AF4" w:rsidRDefault="004527D5" w:rsidP="00244AF4">
      <w:pPr>
        <w:pStyle w:val="SingleTxtGC"/>
      </w:pPr>
      <w:r>
        <w:t>89.</w:t>
      </w:r>
      <w:r w:rsidR="003C70F0">
        <w:t xml:space="preserve">  </w:t>
      </w:r>
      <w:r w:rsidR="00244AF4" w:rsidRPr="00244AF4">
        <w:rPr>
          <w:rFonts w:hint="eastAsia"/>
          <w:lang w:val="en-GB"/>
        </w:rPr>
        <w:t>国家有义务向在集会背景下权利受到侵犯者提供适当、有效和迅速的补救</w:t>
      </w:r>
      <w:r>
        <w:rPr>
          <w:rFonts w:hint="eastAsia"/>
          <w:lang w:val="en-GB"/>
        </w:rPr>
        <w:t>，</w:t>
      </w:r>
      <w:r w:rsidR="00244AF4" w:rsidRPr="00244AF4">
        <w:rPr>
          <w:rFonts w:hint="eastAsia"/>
          <w:lang w:val="en-GB"/>
        </w:rPr>
        <w:t>补救办法应由有权执行补救的主管机构确定。</w:t>
      </w:r>
      <w:r w:rsidR="00244AF4" w:rsidRPr="006A5AF9">
        <w:rPr>
          <w:color w:val="0000FF"/>
          <w:vertAlign w:val="superscript"/>
          <w:lang w:val="en-GB"/>
        </w:rPr>
        <w:footnoteReference w:id="63"/>
      </w:r>
      <w:r w:rsidR="00B46406">
        <w:rPr>
          <w:rFonts w:hint="eastAsia"/>
          <w:lang w:val="en-GB"/>
        </w:rPr>
        <w:t xml:space="preserve"> </w:t>
      </w:r>
      <w:r w:rsidR="00244AF4" w:rsidRPr="00244AF4">
        <w:rPr>
          <w:rFonts w:hint="eastAsia"/>
          <w:lang w:val="en-GB"/>
        </w:rPr>
        <w:t>获得补救的权利包括有权平等和有效地利用司法救助</w:t>
      </w:r>
      <w:r>
        <w:rPr>
          <w:rFonts w:hint="eastAsia"/>
          <w:lang w:val="en-GB"/>
        </w:rPr>
        <w:t>；</w:t>
      </w:r>
      <w:r w:rsidR="00244AF4" w:rsidRPr="00244AF4">
        <w:rPr>
          <w:rFonts w:hint="eastAsia"/>
          <w:lang w:val="en-GB"/>
        </w:rPr>
        <w:t>因所遭受伤害获得充分、有效和及时的赔偿</w:t>
      </w:r>
      <w:r>
        <w:rPr>
          <w:rFonts w:hint="eastAsia"/>
          <w:lang w:val="en-GB"/>
        </w:rPr>
        <w:t>；</w:t>
      </w:r>
      <w:r w:rsidR="00244AF4" w:rsidRPr="00244AF4">
        <w:rPr>
          <w:rFonts w:hint="eastAsia"/>
          <w:lang w:val="en-GB"/>
        </w:rPr>
        <w:t>获得与侵犯行为和赔偿机制有关的信息。</w:t>
      </w:r>
    </w:p>
    <w:p w:rsidR="00244AF4" w:rsidRPr="00244AF4" w:rsidRDefault="004527D5" w:rsidP="00244AF4">
      <w:pPr>
        <w:pStyle w:val="SingleTxtGC"/>
      </w:pPr>
      <w:r>
        <w:t>90.</w:t>
      </w:r>
      <w:r w:rsidR="003C70F0">
        <w:t xml:space="preserve">  </w:t>
      </w:r>
      <w:r w:rsidR="00244AF4" w:rsidRPr="00244AF4">
        <w:rPr>
          <w:rFonts w:hint="eastAsia"/>
          <w:lang w:val="en-GB"/>
        </w:rPr>
        <w:t>各国必须通过独立和公正的机构</w:t>
      </w:r>
      <w:r>
        <w:rPr>
          <w:rFonts w:hint="eastAsia"/>
          <w:lang w:val="en-GB"/>
        </w:rPr>
        <w:t>，</w:t>
      </w:r>
      <w:r w:rsidR="00244AF4" w:rsidRPr="00244AF4">
        <w:rPr>
          <w:rFonts w:hint="eastAsia"/>
          <w:lang w:val="en-GB"/>
        </w:rPr>
        <w:t>迅速和有效地调查集会背景下的任何侵犯行为指称。此外</w:t>
      </w:r>
      <w:r>
        <w:rPr>
          <w:rFonts w:hint="eastAsia"/>
          <w:lang w:val="en-GB"/>
        </w:rPr>
        <w:t>，</w:t>
      </w:r>
      <w:r w:rsidR="00244AF4" w:rsidRPr="00244AF4">
        <w:rPr>
          <w:rFonts w:hint="eastAsia"/>
          <w:lang w:val="en-GB"/>
        </w:rPr>
        <w:t>生命权的程序部分要求各国调查任何关于非法或任意杀害的指称。国家未能适当调查涉嫌非法或任意杀害情况本身就是对生命权的侵犯</w:t>
      </w:r>
      <w:r>
        <w:rPr>
          <w:rFonts w:hint="eastAsia"/>
          <w:lang w:val="en-GB"/>
        </w:rPr>
        <w:t>(A/7</w:t>
      </w:r>
      <w:r w:rsidR="00244AF4" w:rsidRPr="00244AF4">
        <w:rPr>
          <w:rFonts w:hint="eastAsia"/>
          <w:lang w:val="en-GB"/>
        </w:rPr>
        <w:t>0</w:t>
      </w:r>
      <w:r>
        <w:rPr>
          <w:rFonts w:hint="eastAsia"/>
          <w:lang w:val="en-GB"/>
        </w:rPr>
        <w:t>/3</w:t>
      </w:r>
      <w:r w:rsidR="00244AF4" w:rsidRPr="00244AF4">
        <w:rPr>
          <w:rFonts w:hint="eastAsia"/>
          <w:lang w:val="en-GB"/>
        </w:rPr>
        <w:t>0</w:t>
      </w:r>
      <w:r>
        <w:rPr>
          <w:rFonts w:hint="eastAsia"/>
          <w:lang w:val="en-GB"/>
        </w:rPr>
        <w:t>4)</w:t>
      </w:r>
      <w:r w:rsidR="00244AF4" w:rsidRPr="00244AF4">
        <w:rPr>
          <w:rFonts w:hint="eastAsia"/>
          <w:lang w:val="en-GB"/>
        </w:rPr>
        <w:t>。同样</w:t>
      </w:r>
      <w:r>
        <w:rPr>
          <w:rFonts w:hint="eastAsia"/>
          <w:lang w:val="en-GB"/>
        </w:rPr>
        <w:t>，</w:t>
      </w:r>
      <w:r w:rsidR="00244AF4" w:rsidRPr="00244AF4">
        <w:rPr>
          <w:rFonts w:hint="eastAsia"/>
          <w:lang w:val="en-GB"/>
        </w:rPr>
        <w:t>不对侵犯人身健全权的行为追究责任本身可能构成对这些权利的侵犯。</w:t>
      </w:r>
      <w:r w:rsidR="00244AF4" w:rsidRPr="006A5AF9">
        <w:rPr>
          <w:color w:val="0000FF"/>
          <w:vertAlign w:val="superscript"/>
          <w:lang w:val="en-GB"/>
        </w:rPr>
        <w:footnoteReference w:id="64"/>
      </w:r>
      <w:r w:rsidR="00B46406">
        <w:rPr>
          <w:rFonts w:hint="eastAsia"/>
          <w:lang w:val="en-GB"/>
        </w:rPr>
        <w:t xml:space="preserve"> </w:t>
      </w:r>
      <w:r w:rsidR="00244AF4" w:rsidRPr="00244AF4">
        <w:rPr>
          <w:rFonts w:hint="eastAsia"/>
          <w:lang w:val="en-GB"/>
        </w:rPr>
        <w:t>有效调查包括以下因素</w:t>
      </w:r>
      <w:r>
        <w:rPr>
          <w:rFonts w:hint="eastAsia"/>
          <w:lang w:val="en-GB"/>
        </w:rPr>
        <w:t>：</w:t>
      </w:r>
      <w:r w:rsidR="00244AF4" w:rsidRPr="00244AF4">
        <w:rPr>
          <w:rFonts w:hint="eastAsia"/>
          <w:lang w:val="en-GB"/>
        </w:rPr>
        <w:t>由国家发起的正式调查</w:t>
      </w:r>
      <w:r>
        <w:rPr>
          <w:rFonts w:hint="eastAsia"/>
          <w:lang w:val="en-GB"/>
        </w:rPr>
        <w:t>；</w:t>
      </w:r>
      <w:r w:rsidR="00244AF4" w:rsidRPr="00244AF4">
        <w:rPr>
          <w:rFonts w:hint="eastAsia"/>
          <w:lang w:val="en-GB"/>
        </w:rPr>
        <w:t>独立于涉案方</w:t>
      </w:r>
      <w:r>
        <w:rPr>
          <w:rFonts w:hint="eastAsia"/>
          <w:lang w:val="en-GB"/>
        </w:rPr>
        <w:t>；</w:t>
      </w:r>
      <w:r w:rsidR="00244AF4" w:rsidRPr="00244AF4">
        <w:rPr>
          <w:rFonts w:hint="eastAsia"/>
          <w:lang w:val="en-GB"/>
        </w:rPr>
        <w:t>有能力确定在具体情况下某行为是否合理</w:t>
      </w:r>
      <w:r>
        <w:rPr>
          <w:rFonts w:hint="eastAsia"/>
          <w:lang w:val="en-GB"/>
        </w:rPr>
        <w:t>；</w:t>
      </w:r>
      <w:r w:rsidR="00244AF4" w:rsidRPr="00244AF4">
        <w:rPr>
          <w:rFonts w:hint="eastAsia"/>
          <w:lang w:val="en-GB"/>
        </w:rPr>
        <w:t>一定程度的及时性和合理速度</w:t>
      </w:r>
      <w:r>
        <w:rPr>
          <w:rFonts w:hint="eastAsia"/>
          <w:lang w:val="en-GB"/>
        </w:rPr>
        <w:t>；</w:t>
      </w:r>
      <w:r w:rsidR="00244AF4" w:rsidRPr="00244AF4">
        <w:rPr>
          <w:rFonts w:hint="eastAsia"/>
          <w:lang w:val="en-GB"/>
        </w:rPr>
        <w:t xml:space="preserve"> </w:t>
      </w:r>
      <w:r w:rsidR="00244AF4" w:rsidRPr="00244AF4">
        <w:rPr>
          <w:rFonts w:hint="eastAsia"/>
          <w:lang w:val="en-GB"/>
        </w:rPr>
        <w:t>一定程度的公众监督。</w:t>
      </w:r>
      <w:r w:rsidR="00244AF4" w:rsidRPr="006A5AF9">
        <w:rPr>
          <w:color w:val="0000FF"/>
          <w:vertAlign w:val="superscript"/>
          <w:lang w:val="en-GB"/>
        </w:rPr>
        <w:footnoteReference w:id="65"/>
      </w:r>
    </w:p>
    <w:p w:rsidR="00244AF4" w:rsidRPr="00244AF4" w:rsidRDefault="004527D5" w:rsidP="00244AF4">
      <w:pPr>
        <w:pStyle w:val="SingleTxtGC"/>
      </w:pPr>
      <w:r>
        <w:t>91.</w:t>
      </w:r>
      <w:r w:rsidR="003C70F0">
        <w:t xml:space="preserve">  </w:t>
      </w:r>
      <w:r w:rsidR="00244AF4" w:rsidRPr="00244AF4">
        <w:rPr>
          <w:rFonts w:hint="eastAsia"/>
          <w:lang w:val="en-GB"/>
        </w:rPr>
        <w:t>在适当情况下</w:t>
      </w:r>
      <w:r>
        <w:rPr>
          <w:rFonts w:hint="eastAsia"/>
          <w:lang w:val="en-GB"/>
        </w:rPr>
        <w:t>，</w:t>
      </w:r>
      <w:r w:rsidR="00244AF4" w:rsidRPr="00244AF4">
        <w:rPr>
          <w:rFonts w:hint="eastAsia"/>
          <w:lang w:val="en-GB"/>
        </w:rPr>
        <w:t>必须适用刑事和</w:t>
      </w:r>
      <w:r>
        <w:rPr>
          <w:rFonts w:hint="eastAsia"/>
          <w:lang w:val="en-GB"/>
        </w:rPr>
        <w:t>/</w:t>
      </w:r>
      <w:r w:rsidR="00244AF4" w:rsidRPr="00244AF4">
        <w:rPr>
          <w:rFonts w:hint="eastAsia"/>
          <w:lang w:val="en-GB"/>
        </w:rPr>
        <w:t>或民事处罚。责任应扩大至未能行使有效指挥和控制的有指挥控制权的警官。如果上级警官知道或应该已经知道其管辖下的执法人员已经采取非法使用武力或火器手段而没有在其权力范围内采取一切措施予以阻止、禁止或报告</w:t>
      </w:r>
      <w:r>
        <w:rPr>
          <w:rFonts w:hint="eastAsia"/>
          <w:lang w:val="en-GB"/>
        </w:rPr>
        <w:t>，</w:t>
      </w:r>
      <w:r w:rsidR="00244AF4" w:rsidRPr="00244AF4">
        <w:rPr>
          <w:rFonts w:hint="eastAsia"/>
          <w:lang w:val="en-GB"/>
        </w:rPr>
        <w:t>他们也应被追究责任。</w:t>
      </w:r>
      <w:r w:rsidR="00244AF4" w:rsidRPr="006A5AF9">
        <w:rPr>
          <w:color w:val="0000FF"/>
          <w:vertAlign w:val="superscript"/>
          <w:lang w:val="en-GB"/>
        </w:rPr>
        <w:footnoteReference w:id="66"/>
      </w:r>
    </w:p>
    <w:p w:rsidR="00244AF4" w:rsidRPr="00244AF4" w:rsidRDefault="004527D5" w:rsidP="00244AF4">
      <w:pPr>
        <w:pStyle w:val="SingleTxtGC"/>
      </w:pPr>
      <w:r>
        <w:t>92.</w:t>
      </w:r>
      <w:r w:rsidR="003C70F0">
        <w:t xml:space="preserve">  </w:t>
      </w:r>
      <w:r w:rsidR="00244AF4" w:rsidRPr="00244AF4">
        <w:rPr>
          <w:rFonts w:hint="eastAsia"/>
          <w:lang w:val="en-GB"/>
        </w:rPr>
        <w:t>执法人员在集会背景下适当使用穿戴式相机可协助内部调查或民事监督机制的工作。这种技术正处于起步阶段</w:t>
      </w:r>
      <w:r>
        <w:rPr>
          <w:rFonts w:hint="eastAsia"/>
          <w:lang w:val="en-GB"/>
        </w:rPr>
        <w:t>，</w:t>
      </w:r>
      <w:r w:rsidR="00244AF4" w:rsidRPr="00244AF4">
        <w:rPr>
          <w:rFonts w:hint="eastAsia"/>
          <w:lang w:val="en-GB"/>
        </w:rPr>
        <w:t>应考虑与侵犯隐私可能性的微妙平衡</w:t>
      </w:r>
      <w:r>
        <w:rPr>
          <w:rFonts w:hint="eastAsia"/>
          <w:lang w:val="en-GB"/>
        </w:rPr>
        <w:t>，</w:t>
      </w:r>
      <w:r w:rsidR="00244AF4" w:rsidRPr="00244AF4">
        <w:rPr>
          <w:rFonts w:hint="eastAsia"/>
          <w:lang w:val="en-GB"/>
        </w:rPr>
        <w:t>但在此阶段</w:t>
      </w:r>
      <w:r>
        <w:rPr>
          <w:rFonts w:hint="eastAsia"/>
          <w:lang w:val="en-GB"/>
        </w:rPr>
        <w:t>，</w:t>
      </w:r>
      <w:r w:rsidR="00244AF4" w:rsidRPr="00244AF4">
        <w:rPr>
          <w:rFonts w:hint="eastAsia"/>
          <w:lang w:val="en-GB"/>
        </w:rPr>
        <w:t>如果实施了足够的保障措施</w:t>
      </w:r>
      <w:r>
        <w:rPr>
          <w:rFonts w:hint="eastAsia"/>
          <w:lang w:val="en-GB"/>
        </w:rPr>
        <w:t>，</w:t>
      </w:r>
      <w:r w:rsidR="00244AF4" w:rsidRPr="00244AF4">
        <w:rPr>
          <w:rFonts w:hint="eastAsia"/>
          <w:lang w:val="en-GB"/>
        </w:rPr>
        <w:t>这种做法似乎有潜力促进问责。</w:t>
      </w:r>
    </w:p>
    <w:p w:rsidR="00244AF4" w:rsidRPr="00244AF4" w:rsidRDefault="004527D5" w:rsidP="00244AF4">
      <w:pPr>
        <w:pStyle w:val="SingleTxtGC"/>
      </w:pPr>
      <w:r>
        <w:t>93.</w:t>
      </w:r>
      <w:r w:rsidR="003C70F0">
        <w:t xml:space="preserve">  </w:t>
      </w:r>
      <w:r w:rsidR="00244AF4" w:rsidRPr="00244AF4">
        <w:rPr>
          <w:rFonts w:hint="eastAsia"/>
          <w:lang w:val="en-GB"/>
        </w:rPr>
        <w:t>检察官应不偏不倚和不歧视地履行其职责</w:t>
      </w:r>
      <w:r>
        <w:rPr>
          <w:rFonts w:hint="eastAsia"/>
          <w:lang w:val="en-GB"/>
        </w:rPr>
        <w:t>，</w:t>
      </w:r>
      <w:r w:rsidR="00244AF4" w:rsidRPr="00244AF4">
        <w:rPr>
          <w:rFonts w:hint="eastAsia"/>
          <w:lang w:val="en-GB"/>
        </w:rPr>
        <w:t>并应适当注意对公务人员所犯罪行的起诉。</w:t>
      </w:r>
      <w:r w:rsidR="00244AF4" w:rsidRPr="006A5AF9">
        <w:rPr>
          <w:color w:val="0000FF"/>
          <w:vertAlign w:val="superscript"/>
          <w:lang w:val="en-GB"/>
        </w:rPr>
        <w:footnoteReference w:id="67"/>
      </w:r>
      <w:r w:rsidR="00B46406">
        <w:rPr>
          <w:rFonts w:hint="eastAsia"/>
          <w:lang w:val="en-GB"/>
        </w:rPr>
        <w:t xml:space="preserve"> </w:t>
      </w:r>
      <w:r w:rsidR="00244AF4" w:rsidRPr="00244AF4">
        <w:rPr>
          <w:rFonts w:hint="eastAsia"/>
          <w:lang w:val="en-GB"/>
        </w:rPr>
        <w:t>当执法人员受到起诉</w:t>
      </w:r>
      <w:r>
        <w:rPr>
          <w:rFonts w:hint="eastAsia"/>
          <w:lang w:val="en-GB"/>
        </w:rPr>
        <w:t>，</w:t>
      </w:r>
      <w:r w:rsidR="00244AF4" w:rsidRPr="00244AF4">
        <w:rPr>
          <w:rFonts w:hint="eastAsia"/>
          <w:lang w:val="en-GB"/>
        </w:rPr>
        <w:t>司法机关应对案件进行不偏不倚的裁决</w:t>
      </w:r>
      <w:r>
        <w:rPr>
          <w:rFonts w:hint="eastAsia"/>
          <w:lang w:val="en-GB"/>
        </w:rPr>
        <w:t>，</w:t>
      </w:r>
      <w:r w:rsidR="00244AF4" w:rsidRPr="00244AF4">
        <w:rPr>
          <w:rFonts w:hint="eastAsia"/>
          <w:lang w:val="en-GB"/>
        </w:rPr>
        <w:t>不应有任何约束</w:t>
      </w:r>
      <w:r>
        <w:rPr>
          <w:rFonts w:hint="eastAsia"/>
          <w:lang w:val="en-GB"/>
        </w:rPr>
        <w:t>，</w:t>
      </w:r>
      <w:r w:rsidR="00244AF4" w:rsidRPr="00244AF4">
        <w:rPr>
          <w:rFonts w:hint="eastAsia"/>
          <w:lang w:val="en-GB"/>
        </w:rPr>
        <w:t>也不应为任何直接间接不当影响、怂恿、压力、威胁、或</w:t>
      </w:r>
      <w:r w:rsidR="00244AF4" w:rsidRPr="00244AF4">
        <w:rPr>
          <w:rFonts w:hint="eastAsia"/>
          <w:lang w:val="en-GB"/>
        </w:rPr>
        <w:lastRenderedPageBreak/>
        <w:t>干涉所左右。</w:t>
      </w:r>
      <w:r w:rsidR="00244AF4" w:rsidRPr="006A5AF9">
        <w:rPr>
          <w:color w:val="0000FF"/>
          <w:vertAlign w:val="superscript"/>
          <w:lang w:val="en-GB"/>
        </w:rPr>
        <w:footnoteReference w:id="68"/>
      </w:r>
      <w:r w:rsidR="00B46406">
        <w:rPr>
          <w:rFonts w:hint="eastAsia"/>
          <w:lang w:val="en-GB"/>
        </w:rPr>
        <w:t xml:space="preserve"> </w:t>
      </w:r>
      <w:r w:rsidR="00244AF4" w:rsidRPr="00244AF4">
        <w:rPr>
          <w:rFonts w:hint="eastAsia"/>
          <w:lang w:val="en-GB"/>
        </w:rPr>
        <w:t>被告应由普通法院或法庭审理</w:t>
      </w:r>
      <w:r>
        <w:rPr>
          <w:rFonts w:hint="eastAsia"/>
          <w:lang w:val="en-GB"/>
        </w:rPr>
        <w:t>，</w:t>
      </w:r>
      <w:r w:rsidR="00244AF4" w:rsidRPr="00244AF4">
        <w:rPr>
          <w:rFonts w:hint="eastAsia"/>
          <w:lang w:val="en-GB"/>
        </w:rPr>
        <w:t>并应能够利用国际法规定的公正审判保障。</w:t>
      </w:r>
    </w:p>
    <w:p w:rsidR="00244AF4" w:rsidRPr="00244AF4" w:rsidRDefault="004527D5" w:rsidP="00244AF4">
      <w:pPr>
        <w:pStyle w:val="SingleTxtGC"/>
      </w:pPr>
      <w:r>
        <w:t>94.</w:t>
      </w:r>
      <w:r w:rsidR="003C70F0">
        <w:t xml:space="preserve">  </w:t>
      </w:r>
      <w:r w:rsidR="00244AF4" w:rsidRPr="00244AF4">
        <w:rPr>
          <w:rFonts w:hint="eastAsia"/>
          <w:lang w:val="en-GB"/>
        </w:rPr>
        <w:t>除了通过司法程序保障问责制</w:t>
      </w:r>
      <w:r>
        <w:rPr>
          <w:rFonts w:hint="eastAsia"/>
          <w:lang w:val="en-GB"/>
        </w:rPr>
        <w:t>，</w:t>
      </w:r>
      <w:r w:rsidR="00244AF4" w:rsidRPr="00244AF4">
        <w:rPr>
          <w:rFonts w:hint="eastAsia"/>
          <w:lang w:val="en-GB"/>
        </w:rPr>
        <w:t>各国应实施更多层次的非司法监督</w:t>
      </w:r>
      <w:r>
        <w:rPr>
          <w:rFonts w:hint="eastAsia"/>
          <w:lang w:val="en-GB"/>
        </w:rPr>
        <w:t>，</w:t>
      </w:r>
      <w:r w:rsidR="00244AF4" w:rsidRPr="00244AF4">
        <w:rPr>
          <w:rFonts w:hint="eastAsia"/>
          <w:lang w:val="en-GB"/>
        </w:rPr>
        <w:t>包括有效的内部调查程序和独立的监督机构。这些系统应当补充</w:t>
      </w:r>
      <w:r>
        <w:rPr>
          <w:rFonts w:hint="eastAsia"/>
          <w:lang w:val="en-GB"/>
        </w:rPr>
        <w:t>，</w:t>
      </w:r>
      <w:r w:rsidR="00244AF4" w:rsidRPr="00244AF4">
        <w:rPr>
          <w:rFonts w:hint="eastAsia"/>
          <w:lang w:val="en-GB"/>
        </w:rPr>
        <w:t>而不是替代对警察不当行为的刑事、公共和私人法律补救。</w:t>
      </w:r>
      <w:r w:rsidR="00244AF4" w:rsidRPr="006A5AF9">
        <w:rPr>
          <w:color w:val="0000FF"/>
          <w:vertAlign w:val="superscript"/>
          <w:lang w:val="en-GB"/>
        </w:rPr>
        <w:footnoteReference w:id="69"/>
      </w:r>
      <w:r w:rsidR="00244AF4" w:rsidRPr="00244AF4">
        <w:rPr>
          <w:lang w:val="en-GB"/>
        </w:rPr>
        <w:t xml:space="preserve"> </w:t>
      </w:r>
      <w:r w:rsidR="00244AF4" w:rsidRPr="00244AF4">
        <w:rPr>
          <w:rFonts w:hint="eastAsia"/>
          <w:lang w:val="en-GB"/>
        </w:rPr>
        <w:t>专门的民事监督机构的作用可得到国家人权机构或监察员工作的补充。</w:t>
      </w:r>
    </w:p>
    <w:p w:rsidR="00244AF4" w:rsidRPr="00244AF4" w:rsidRDefault="004527D5" w:rsidP="00244AF4">
      <w:pPr>
        <w:pStyle w:val="SingleTxtGC"/>
      </w:pPr>
      <w:r>
        <w:t>95.</w:t>
      </w:r>
      <w:r w:rsidR="003C70F0">
        <w:t xml:space="preserve">  </w:t>
      </w:r>
      <w:r w:rsidR="00244AF4" w:rsidRPr="00244AF4">
        <w:rPr>
          <w:rFonts w:hint="eastAsia"/>
          <w:lang w:val="en-GB"/>
        </w:rPr>
        <w:t>关于补救问题</w:t>
      </w:r>
      <w:r>
        <w:rPr>
          <w:rFonts w:hint="eastAsia"/>
          <w:lang w:val="en-GB"/>
        </w:rPr>
        <w:t>，</w:t>
      </w:r>
      <w:r w:rsidR="00244AF4" w:rsidRPr="00244AF4">
        <w:rPr>
          <w:rFonts w:hint="eastAsia"/>
          <w:lang w:val="en-GB"/>
        </w:rPr>
        <w:t>国家应就其须负责的构成严重违反国际人权法和严重违反国际人道主义法的行为或不行为</w:t>
      </w:r>
      <w:r>
        <w:rPr>
          <w:rFonts w:hint="eastAsia"/>
          <w:lang w:val="en-GB"/>
        </w:rPr>
        <w:t>，</w:t>
      </w:r>
      <w:r w:rsidR="00244AF4" w:rsidRPr="00244AF4">
        <w:rPr>
          <w:rFonts w:hint="eastAsia"/>
          <w:lang w:val="en-GB"/>
        </w:rPr>
        <w:t>向受害者提供赔偿。</w:t>
      </w:r>
      <w:r w:rsidR="00244AF4" w:rsidRPr="006A5AF9">
        <w:rPr>
          <w:color w:val="0000FF"/>
          <w:vertAlign w:val="superscript"/>
          <w:lang w:val="en-GB"/>
        </w:rPr>
        <w:footnoteReference w:id="70"/>
      </w:r>
      <w:r w:rsidR="00B46406">
        <w:rPr>
          <w:rFonts w:hint="eastAsia"/>
          <w:lang w:val="en-GB"/>
        </w:rPr>
        <w:t xml:space="preserve"> </w:t>
      </w:r>
      <w:r w:rsidR="00244AF4" w:rsidRPr="00244AF4">
        <w:rPr>
          <w:rFonts w:hint="eastAsia"/>
          <w:lang w:val="en-GB"/>
        </w:rPr>
        <w:t>赔偿应与违法行为和所受损害的严重程度相称</w:t>
      </w:r>
      <w:r>
        <w:rPr>
          <w:rFonts w:hint="eastAsia"/>
          <w:lang w:val="en-GB"/>
        </w:rPr>
        <w:t>，</w:t>
      </w:r>
      <w:r w:rsidR="00244AF4" w:rsidRPr="00244AF4">
        <w:rPr>
          <w:rFonts w:hint="eastAsia"/>
          <w:lang w:val="en-GB"/>
        </w:rPr>
        <w:t>并应包括以下内容</w:t>
      </w:r>
      <w:r>
        <w:rPr>
          <w:rFonts w:hint="eastAsia"/>
          <w:lang w:val="en-GB"/>
        </w:rPr>
        <w:t>：</w:t>
      </w:r>
      <w:r w:rsidR="00244AF4" w:rsidRPr="00244AF4">
        <w:rPr>
          <w:rFonts w:hint="eastAsia"/>
          <w:lang w:val="en-GB"/>
        </w:rPr>
        <w:t>复原、补偿、康复、满足和保证不再发生</w:t>
      </w:r>
      <w:r>
        <w:rPr>
          <w:rFonts w:hint="eastAsia"/>
          <w:lang w:val="en-GB"/>
        </w:rPr>
        <w:t>，</w:t>
      </w:r>
      <w:r w:rsidR="00244AF4" w:rsidRPr="00244AF4">
        <w:rPr>
          <w:rFonts w:hint="eastAsia"/>
          <w:lang w:val="en-GB"/>
        </w:rPr>
        <w:t>以及获得与违法行为和赔偿机制相关的信息。</w:t>
      </w:r>
      <w:r w:rsidR="00244AF4" w:rsidRPr="006A5AF9">
        <w:rPr>
          <w:color w:val="0000FF"/>
          <w:vertAlign w:val="superscript"/>
          <w:lang w:val="en-GB"/>
        </w:rPr>
        <w:footnoteReference w:id="71"/>
      </w:r>
    </w:p>
    <w:p w:rsidR="00244AF4" w:rsidRPr="00DE0653" w:rsidRDefault="004527D5" w:rsidP="00244AF4">
      <w:pPr>
        <w:pStyle w:val="SingleTxtGC"/>
        <w:rPr>
          <w:rFonts w:eastAsia="SimHei"/>
        </w:rPr>
      </w:pPr>
      <w:r w:rsidRPr="00DE0653">
        <w:rPr>
          <w:rFonts w:eastAsia="SimHei"/>
        </w:rPr>
        <w:t>96.</w:t>
      </w:r>
      <w:r w:rsidR="003C70F0" w:rsidRPr="00DE0653">
        <w:rPr>
          <w:rFonts w:eastAsia="SimHei"/>
        </w:rPr>
        <w:t xml:space="preserve">  </w:t>
      </w:r>
      <w:r w:rsidR="00244AF4" w:rsidRPr="00DE0653">
        <w:rPr>
          <w:rFonts w:eastAsia="SimHei"/>
          <w:bCs/>
          <w:lang w:val="en-GB"/>
        </w:rPr>
        <w:t>实用建议</w:t>
      </w:r>
      <w:r w:rsidRPr="00DE0653">
        <w:rPr>
          <w:rFonts w:eastAsia="SimHei"/>
          <w:bCs/>
          <w:lang w:val="en-GB"/>
        </w:rPr>
        <w:t>：</w:t>
      </w:r>
    </w:p>
    <w:p w:rsidR="00244AF4" w:rsidRPr="00DE0653" w:rsidRDefault="00B46406" w:rsidP="00244AF4">
      <w:pPr>
        <w:pStyle w:val="SingleTxtGC"/>
        <w:rPr>
          <w:rFonts w:eastAsia="SimHei"/>
          <w:lang w:val="en-GB"/>
        </w:rPr>
      </w:pPr>
      <w:r w:rsidRPr="00DE0653">
        <w:rPr>
          <w:rFonts w:eastAsia="SimHei" w:hint="eastAsia"/>
          <w:bCs/>
          <w:lang w:val="en-GB"/>
        </w:rPr>
        <w:tab/>
      </w:r>
      <w:r w:rsidR="004527D5" w:rsidRPr="00DE0653">
        <w:rPr>
          <w:rFonts w:eastAsia="SimHei"/>
          <w:bCs/>
          <w:lang w:val="en-GB"/>
        </w:rPr>
        <w:t>(a)</w:t>
      </w:r>
      <w:r w:rsidR="00244AF4" w:rsidRPr="00DE0653">
        <w:rPr>
          <w:rFonts w:eastAsia="SimHei"/>
          <w:lang w:val="en-GB"/>
        </w:rPr>
        <w:tab/>
      </w:r>
      <w:r w:rsidR="00244AF4" w:rsidRPr="00DE0653">
        <w:rPr>
          <w:rFonts w:eastAsia="SimHei" w:hint="eastAsia"/>
          <w:lang w:val="en-GB"/>
        </w:rPr>
        <w:t>各国应确保在法律上和实践中</w:t>
      </w:r>
      <w:r w:rsidR="004527D5" w:rsidRPr="00DE0653">
        <w:rPr>
          <w:rFonts w:eastAsia="SimHei" w:hint="eastAsia"/>
          <w:lang w:val="en-GB"/>
        </w:rPr>
        <w:t>，</w:t>
      </w:r>
      <w:r w:rsidR="00244AF4" w:rsidRPr="00DE0653">
        <w:rPr>
          <w:rFonts w:eastAsia="SimHei" w:hint="eastAsia"/>
          <w:lang w:val="en-GB"/>
        </w:rPr>
        <w:t>执法人员在不当行为案件中没有刑事或民事责任豁免权</w:t>
      </w:r>
      <w:r w:rsidR="004527D5" w:rsidRPr="00DE0653">
        <w:rPr>
          <w:rFonts w:eastAsia="SimHei" w:hint="eastAsia"/>
          <w:lang w:val="en-GB"/>
        </w:rPr>
        <w:t>；</w:t>
      </w:r>
    </w:p>
    <w:p w:rsidR="00244AF4" w:rsidRPr="00DE0653" w:rsidRDefault="00B46406" w:rsidP="00244AF4">
      <w:pPr>
        <w:pStyle w:val="SingleTxtGC"/>
        <w:rPr>
          <w:rFonts w:eastAsia="SimHei"/>
          <w:lang w:val="en-GB"/>
        </w:rPr>
      </w:pPr>
      <w:r w:rsidRPr="00DE0653">
        <w:rPr>
          <w:rFonts w:eastAsia="SimHei" w:hint="eastAsia"/>
          <w:bCs/>
          <w:lang w:val="en-GB"/>
        </w:rPr>
        <w:tab/>
      </w:r>
      <w:r w:rsidR="004527D5" w:rsidRPr="00DE0653">
        <w:rPr>
          <w:rFonts w:eastAsia="SimHei"/>
          <w:bCs/>
          <w:lang w:val="en-GB"/>
        </w:rPr>
        <w:t>(b)</w:t>
      </w:r>
      <w:r w:rsidR="00244AF4" w:rsidRPr="00DE0653">
        <w:rPr>
          <w:rFonts w:eastAsia="SimHei"/>
          <w:lang w:val="en-GB"/>
        </w:rPr>
        <w:tab/>
      </w:r>
      <w:r w:rsidR="00244AF4" w:rsidRPr="00DE0653">
        <w:rPr>
          <w:rFonts w:eastAsia="SimHei" w:hint="eastAsia"/>
          <w:lang w:val="en-GB"/>
        </w:rPr>
        <w:t>各国应建立和资助更多层次的非司法监督</w:t>
      </w:r>
      <w:r w:rsidR="004527D5" w:rsidRPr="00DE0653">
        <w:rPr>
          <w:rFonts w:eastAsia="SimHei" w:hint="eastAsia"/>
          <w:lang w:val="en-GB"/>
        </w:rPr>
        <w:t>，</w:t>
      </w:r>
      <w:r w:rsidR="00244AF4" w:rsidRPr="00DE0653">
        <w:rPr>
          <w:rFonts w:eastAsia="SimHei" w:hint="eastAsia"/>
          <w:lang w:val="en-GB"/>
        </w:rPr>
        <w:t>包括有效的内部调查程序和法定的独立监督机构。如果有理由认为已发生了犯罪行为</w:t>
      </w:r>
      <w:r w:rsidR="004527D5" w:rsidRPr="00DE0653">
        <w:rPr>
          <w:rFonts w:eastAsia="SimHei" w:hint="eastAsia"/>
          <w:lang w:val="en-GB"/>
        </w:rPr>
        <w:t>，</w:t>
      </w:r>
      <w:r w:rsidR="00244AF4" w:rsidRPr="00DE0653">
        <w:rPr>
          <w:rFonts w:eastAsia="SimHei" w:hint="eastAsia"/>
          <w:lang w:val="en-GB"/>
        </w:rPr>
        <w:t>应将此事立即转交检察机关进行适当和充分的调查</w:t>
      </w:r>
      <w:r w:rsidR="004527D5" w:rsidRPr="00DE0653">
        <w:rPr>
          <w:rFonts w:eastAsia="SimHei" w:hint="eastAsia"/>
          <w:lang w:val="en-GB"/>
        </w:rPr>
        <w:t>；</w:t>
      </w:r>
    </w:p>
    <w:p w:rsidR="00244AF4" w:rsidRPr="00DE0653" w:rsidRDefault="00B46406" w:rsidP="00244AF4">
      <w:pPr>
        <w:pStyle w:val="SingleTxtGC"/>
        <w:rPr>
          <w:rFonts w:eastAsia="SimHei"/>
          <w:lang w:val="en-GB"/>
        </w:rPr>
      </w:pPr>
      <w:r w:rsidRPr="00DE0653">
        <w:rPr>
          <w:rFonts w:eastAsia="SimHei" w:hint="eastAsia"/>
          <w:bCs/>
          <w:lang w:val="en-GB"/>
        </w:rPr>
        <w:tab/>
      </w:r>
      <w:r w:rsidR="004527D5" w:rsidRPr="00DE0653">
        <w:rPr>
          <w:rFonts w:eastAsia="SimHei"/>
          <w:bCs/>
          <w:lang w:val="en-GB"/>
        </w:rPr>
        <w:t>(c)</w:t>
      </w:r>
      <w:r w:rsidR="00244AF4" w:rsidRPr="00DE0653">
        <w:rPr>
          <w:rFonts w:eastAsia="SimHei"/>
          <w:lang w:val="en-GB"/>
        </w:rPr>
        <w:tab/>
      </w:r>
      <w:r w:rsidR="00244AF4" w:rsidRPr="00DE0653">
        <w:rPr>
          <w:rFonts w:eastAsia="SimHei" w:hint="eastAsia"/>
          <w:lang w:val="en-GB"/>
        </w:rPr>
        <w:t>接受外部或内部调查的执法警官</w:t>
      </w:r>
      <w:r w:rsidR="004527D5" w:rsidRPr="00DE0653">
        <w:rPr>
          <w:rFonts w:eastAsia="SimHei" w:hint="eastAsia"/>
          <w:lang w:val="en-GB"/>
        </w:rPr>
        <w:t>，</w:t>
      </w:r>
      <w:r w:rsidR="00244AF4" w:rsidRPr="00DE0653">
        <w:rPr>
          <w:rFonts w:eastAsia="SimHei" w:hint="eastAsia"/>
          <w:lang w:val="en-GB"/>
        </w:rPr>
        <w:t>在调查完成及该警员被排除犯有错失行为前</w:t>
      </w:r>
      <w:r w:rsidR="004527D5" w:rsidRPr="00DE0653">
        <w:rPr>
          <w:rFonts w:eastAsia="SimHei" w:hint="eastAsia"/>
          <w:lang w:val="en-GB"/>
        </w:rPr>
        <w:t>，</w:t>
      </w:r>
      <w:r w:rsidR="00244AF4" w:rsidRPr="00DE0653">
        <w:rPr>
          <w:rFonts w:eastAsia="SimHei" w:hint="eastAsia"/>
          <w:lang w:val="en-GB"/>
        </w:rPr>
        <w:t>不应将其重新部署到实地</w:t>
      </w:r>
      <w:r w:rsidR="004527D5" w:rsidRPr="00DE0653">
        <w:rPr>
          <w:rFonts w:eastAsia="SimHei" w:hint="eastAsia"/>
          <w:lang w:val="en-GB"/>
        </w:rPr>
        <w:t>；</w:t>
      </w:r>
    </w:p>
    <w:p w:rsidR="00244AF4" w:rsidRPr="00DE0653" w:rsidRDefault="00B46406" w:rsidP="00244AF4">
      <w:pPr>
        <w:pStyle w:val="SingleTxtGC"/>
        <w:rPr>
          <w:rFonts w:eastAsia="SimHei"/>
          <w:lang w:val="en-GB"/>
        </w:rPr>
      </w:pPr>
      <w:r w:rsidRPr="00DE0653">
        <w:rPr>
          <w:rFonts w:eastAsia="SimHei" w:hint="eastAsia"/>
          <w:bCs/>
          <w:lang w:val="en-GB"/>
        </w:rPr>
        <w:tab/>
      </w:r>
      <w:r w:rsidR="004527D5" w:rsidRPr="00DE0653">
        <w:rPr>
          <w:rFonts w:eastAsia="SimHei"/>
          <w:bCs/>
          <w:lang w:val="en-GB"/>
        </w:rPr>
        <w:t>(d)</w:t>
      </w:r>
      <w:r w:rsidR="00244AF4" w:rsidRPr="00DE0653">
        <w:rPr>
          <w:rFonts w:eastAsia="SimHei"/>
          <w:lang w:val="en-GB"/>
        </w:rPr>
        <w:tab/>
      </w:r>
      <w:r w:rsidR="00244AF4" w:rsidRPr="00DE0653">
        <w:rPr>
          <w:rFonts w:eastAsia="SimHei" w:hint="eastAsia"/>
          <w:lang w:val="en-GB"/>
        </w:rPr>
        <w:t>各国应赋予一个独立监督机构广泛的任务授权</w:t>
      </w:r>
      <w:r w:rsidR="004527D5" w:rsidRPr="00DE0653">
        <w:rPr>
          <w:rFonts w:eastAsia="SimHei" w:hint="eastAsia"/>
          <w:lang w:val="en-GB"/>
        </w:rPr>
        <w:t>，</w:t>
      </w:r>
      <w:r w:rsidR="00244AF4" w:rsidRPr="00DE0653">
        <w:rPr>
          <w:rFonts w:eastAsia="SimHei" w:hint="eastAsia"/>
          <w:lang w:val="en-GB"/>
        </w:rPr>
        <w:t>使其拥有在集会背景下有效保护权利的所有权限和权利。任务应允许该机构调查公众提出的申诉</w:t>
      </w:r>
      <w:r w:rsidR="004527D5" w:rsidRPr="00DE0653">
        <w:rPr>
          <w:rFonts w:eastAsia="SimHei" w:hint="eastAsia"/>
          <w:lang w:val="en-GB"/>
        </w:rPr>
        <w:t>，</w:t>
      </w:r>
      <w:r w:rsidR="00244AF4" w:rsidRPr="00DE0653">
        <w:rPr>
          <w:rFonts w:eastAsia="SimHei" w:hint="eastAsia"/>
          <w:lang w:val="en-GB"/>
        </w:rPr>
        <w:t>接受警方转介的案情</w:t>
      </w:r>
      <w:r w:rsidR="004527D5" w:rsidRPr="00DE0653">
        <w:rPr>
          <w:rFonts w:eastAsia="SimHei" w:hint="eastAsia"/>
          <w:lang w:val="en-GB"/>
        </w:rPr>
        <w:t>，</w:t>
      </w:r>
      <w:r w:rsidR="00244AF4" w:rsidRPr="00DE0653">
        <w:rPr>
          <w:rFonts w:eastAsia="SimHei" w:hint="eastAsia"/>
          <w:lang w:val="en-GB"/>
        </w:rPr>
        <w:t>并在符合公共利益的情况下自行开展调查。该机构应调查执法人员使用武力的所有案件。监督机构应拥有全面调查权</w:t>
      </w:r>
      <w:r w:rsidR="004527D5" w:rsidRPr="00DE0653">
        <w:rPr>
          <w:rFonts w:eastAsia="SimHei" w:hint="eastAsia"/>
          <w:lang w:val="en-GB"/>
        </w:rPr>
        <w:t>，</w:t>
      </w:r>
      <w:r w:rsidR="00244AF4" w:rsidRPr="00DE0653">
        <w:rPr>
          <w:rFonts w:eastAsia="SimHei" w:hint="eastAsia"/>
          <w:lang w:val="en-GB"/>
        </w:rPr>
        <w:t>并应根据明确的标准</w:t>
      </w:r>
      <w:r w:rsidR="004527D5" w:rsidRPr="00DE0653">
        <w:rPr>
          <w:rFonts w:eastAsia="SimHei" w:hint="eastAsia"/>
          <w:lang w:val="en-GB"/>
        </w:rPr>
        <w:t>，</w:t>
      </w:r>
      <w:r w:rsidR="00244AF4" w:rsidRPr="00DE0653">
        <w:rPr>
          <w:rFonts w:eastAsia="SimHei" w:hint="eastAsia"/>
          <w:lang w:val="en-GB"/>
        </w:rPr>
        <w:t>客观、公平和迅速地处理申诉</w:t>
      </w:r>
      <w:r w:rsidR="004527D5" w:rsidRPr="00DE0653">
        <w:rPr>
          <w:rFonts w:eastAsia="SimHei" w:hint="eastAsia"/>
          <w:lang w:val="en-GB"/>
        </w:rPr>
        <w:t>；</w:t>
      </w:r>
    </w:p>
    <w:p w:rsidR="00244AF4" w:rsidRPr="00DE0653" w:rsidRDefault="00B46406" w:rsidP="00244AF4">
      <w:pPr>
        <w:pStyle w:val="SingleTxtGC"/>
        <w:rPr>
          <w:rFonts w:eastAsia="SimHei"/>
          <w:lang w:val="en-GB"/>
        </w:rPr>
      </w:pPr>
      <w:r w:rsidRPr="00DE0653">
        <w:rPr>
          <w:rFonts w:eastAsia="SimHei" w:hint="eastAsia"/>
          <w:bCs/>
          <w:lang w:val="en-GB"/>
        </w:rPr>
        <w:tab/>
      </w:r>
      <w:r w:rsidR="004527D5" w:rsidRPr="00DE0653">
        <w:rPr>
          <w:rFonts w:eastAsia="SimHei"/>
          <w:bCs/>
          <w:lang w:val="en-GB"/>
        </w:rPr>
        <w:t>(e)</w:t>
      </w:r>
      <w:r w:rsidR="00244AF4" w:rsidRPr="00DE0653">
        <w:rPr>
          <w:rFonts w:eastAsia="SimHei"/>
          <w:lang w:val="en-GB"/>
        </w:rPr>
        <w:tab/>
      </w:r>
      <w:r w:rsidR="00244AF4" w:rsidRPr="00DE0653">
        <w:rPr>
          <w:rFonts w:eastAsia="SimHei" w:hint="eastAsia"/>
          <w:lang w:val="en-GB"/>
        </w:rPr>
        <w:t>各国应鼓励和促进执法机构对治安行动开展持续的非对抗性同行审查</w:t>
      </w:r>
      <w:r w:rsidR="004527D5" w:rsidRPr="00DE0653">
        <w:rPr>
          <w:rFonts w:eastAsia="SimHei" w:hint="eastAsia"/>
          <w:lang w:val="en-GB"/>
        </w:rPr>
        <w:t>，</w:t>
      </w:r>
      <w:r w:rsidR="00244AF4" w:rsidRPr="00DE0653">
        <w:rPr>
          <w:rFonts w:eastAsia="SimHei" w:hint="eastAsia"/>
          <w:lang w:val="en-GB"/>
        </w:rPr>
        <w:t>如果可能的话</w:t>
      </w:r>
      <w:r w:rsidR="004527D5" w:rsidRPr="00DE0653">
        <w:rPr>
          <w:rFonts w:eastAsia="SimHei" w:hint="eastAsia"/>
          <w:lang w:val="en-GB"/>
        </w:rPr>
        <w:t>，</w:t>
      </w:r>
      <w:r w:rsidR="00244AF4" w:rsidRPr="00DE0653">
        <w:rPr>
          <w:rFonts w:eastAsia="SimHei" w:hint="eastAsia"/>
          <w:lang w:val="en-GB"/>
        </w:rPr>
        <w:t>可由另一执法机构进行。这种审查应作为补充手段</w:t>
      </w:r>
      <w:r w:rsidR="004527D5" w:rsidRPr="00DE0653">
        <w:rPr>
          <w:rFonts w:eastAsia="SimHei" w:hint="eastAsia"/>
          <w:lang w:val="en-GB"/>
        </w:rPr>
        <w:t>，</w:t>
      </w:r>
      <w:r w:rsidR="00244AF4" w:rsidRPr="00DE0653">
        <w:rPr>
          <w:rFonts w:eastAsia="SimHei" w:hint="eastAsia"/>
          <w:lang w:val="en-GB"/>
        </w:rPr>
        <w:t>不能以此免除国家设立独立司法审查机制调查和制裁侵犯人权行为的义务</w:t>
      </w:r>
      <w:r w:rsidR="004527D5" w:rsidRPr="00DE0653">
        <w:rPr>
          <w:rFonts w:eastAsia="SimHei" w:hint="eastAsia"/>
          <w:lang w:val="en-GB"/>
        </w:rPr>
        <w:t>；</w:t>
      </w:r>
    </w:p>
    <w:p w:rsidR="00B46406" w:rsidRPr="00DE0653" w:rsidRDefault="00B46406" w:rsidP="007330FC">
      <w:pPr>
        <w:pStyle w:val="SingleTxtGC"/>
        <w:tabs>
          <w:tab w:val="clear" w:pos="1134"/>
          <w:tab w:val="clear" w:pos="1996"/>
          <w:tab w:val="left" w:pos="1988"/>
        </w:tabs>
        <w:rPr>
          <w:rFonts w:eastAsia="SimHei"/>
          <w:lang w:val="en-GB"/>
        </w:rPr>
      </w:pPr>
      <w:r w:rsidRPr="00DE0653">
        <w:rPr>
          <w:rFonts w:eastAsia="SimHei" w:hint="eastAsia"/>
          <w:bCs/>
          <w:lang w:val="en-GB"/>
        </w:rPr>
        <w:tab/>
      </w:r>
      <w:r w:rsidR="004527D5" w:rsidRPr="00DE0653">
        <w:rPr>
          <w:rFonts w:eastAsia="SimHei"/>
          <w:bCs/>
          <w:lang w:val="en-GB"/>
        </w:rPr>
        <w:t>(f)</w:t>
      </w:r>
      <w:r w:rsidR="007330FC" w:rsidRPr="00DE0653">
        <w:rPr>
          <w:rFonts w:eastAsia="SimHei" w:hint="eastAsia"/>
          <w:lang w:val="en-GB"/>
        </w:rPr>
        <w:tab/>
      </w:r>
      <w:r w:rsidR="00244AF4" w:rsidRPr="00DE0653">
        <w:rPr>
          <w:rFonts w:eastAsia="SimHei" w:hint="eastAsia"/>
          <w:lang w:val="en-GB"/>
        </w:rPr>
        <w:t>各国应考虑信息和通信技术</w:t>
      </w:r>
      <w:r w:rsidR="004527D5" w:rsidRPr="00DE0653">
        <w:rPr>
          <w:rFonts w:eastAsia="SimHei" w:hint="eastAsia"/>
          <w:lang w:val="en-GB"/>
        </w:rPr>
        <w:t>(</w:t>
      </w:r>
      <w:r w:rsidR="00244AF4" w:rsidRPr="00DE0653">
        <w:rPr>
          <w:rFonts w:eastAsia="SimHei" w:hint="eastAsia"/>
          <w:lang w:val="en-GB"/>
        </w:rPr>
        <w:t>如穿戴式相机</w:t>
      </w:r>
      <w:r w:rsidR="004527D5" w:rsidRPr="00DE0653">
        <w:rPr>
          <w:rFonts w:eastAsia="SimHei" w:hint="eastAsia"/>
          <w:lang w:val="en-GB"/>
        </w:rPr>
        <w:t>)</w:t>
      </w:r>
      <w:r w:rsidR="00244AF4" w:rsidRPr="00DE0653">
        <w:rPr>
          <w:rFonts w:eastAsia="SimHei" w:hint="eastAsia"/>
          <w:lang w:val="en-GB"/>
        </w:rPr>
        <w:t>在协助追究执法人员在集会背景下的侵犯行为的责任方面的潜力。</w:t>
      </w:r>
    </w:p>
    <w:p w:rsidR="00244AF4" w:rsidRPr="00DE0653" w:rsidRDefault="00244AF4" w:rsidP="00B46406">
      <w:pPr>
        <w:pStyle w:val="HChGC"/>
        <w:rPr>
          <w:lang w:val="en-GB"/>
        </w:rPr>
      </w:pPr>
      <w:bookmarkStart w:id="60" w:name="_Toc437525381"/>
      <w:bookmarkStart w:id="61" w:name="_Toc437529853"/>
      <w:bookmarkStart w:id="62" w:name="_Toc440290948"/>
      <w:r w:rsidRPr="00DE0653">
        <w:rPr>
          <w:lang w:val="en-GB"/>
        </w:rPr>
        <w:lastRenderedPageBreak/>
        <w:tab/>
      </w:r>
      <w:r w:rsidRPr="00DE0653">
        <w:rPr>
          <w:rFonts w:hint="eastAsia"/>
          <w:lang w:val="en-GB"/>
        </w:rPr>
        <w:t>三</w:t>
      </w:r>
      <w:r w:rsidRPr="00DE0653">
        <w:rPr>
          <w:lang w:val="en-GB"/>
        </w:rPr>
        <w:t>.</w:t>
      </w:r>
      <w:r w:rsidRPr="00DE0653">
        <w:rPr>
          <w:lang w:val="en-GB"/>
        </w:rPr>
        <w:tab/>
      </w:r>
      <w:bookmarkEnd w:id="60"/>
      <w:bookmarkEnd w:id="61"/>
      <w:bookmarkEnd w:id="62"/>
      <w:r w:rsidRPr="00DE0653">
        <w:rPr>
          <w:rFonts w:hint="eastAsia"/>
          <w:lang w:val="en-GB"/>
        </w:rPr>
        <w:t>结束语</w:t>
      </w:r>
    </w:p>
    <w:p w:rsidR="00244AF4" w:rsidRPr="00DE0653" w:rsidRDefault="004527D5" w:rsidP="00244AF4">
      <w:pPr>
        <w:pStyle w:val="SingleTxtGC"/>
        <w:rPr>
          <w:rFonts w:eastAsia="SimHei"/>
          <w:lang w:val="en-GB"/>
        </w:rPr>
      </w:pPr>
      <w:r w:rsidRPr="00DE0653">
        <w:rPr>
          <w:rFonts w:eastAsia="SimHei"/>
          <w:lang w:val="en-GB"/>
        </w:rPr>
        <w:t>97.</w:t>
      </w:r>
      <w:r w:rsidR="003C70F0" w:rsidRPr="00DE0653">
        <w:rPr>
          <w:rFonts w:eastAsia="SimHei"/>
          <w:lang w:val="en-GB"/>
        </w:rPr>
        <w:t xml:space="preserve">  </w:t>
      </w:r>
      <w:r w:rsidR="00244AF4" w:rsidRPr="00DE0653">
        <w:rPr>
          <w:rFonts w:eastAsia="SimHei" w:hint="eastAsia"/>
          <w:lang w:val="en-GB"/>
        </w:rPr>
        <w:t>集会在保护和实现人权和社会民主生活方面发挥着至关重要的作用。集会不应被视为一种威胁</w:t>
      </w:r>
      <w:r w:rsidRPr="00DE0653">
        <w:rPr>
          <w:rFonts w:eastAsia="SimHei" w:hint="eastAsia"/>
          <w:lang w:val="en-GB"/>
        </w:rPr>
        <w:t>，</w:t>
      </w:r>
      <w:r w:rsidR="00244AF4" w:rsidRPr="00DE0653">
        <w:rPr>
          <w:rFonts w:eastAsia="SimHei" w:hint="eastAsia"/>
          <w:lang w:val="en-GB"/>
        </w:rPr>
        <w:t>而应被视为一种对话途径</w:t>
      </w:r>
      <w:r w:rsidRPr="00DE0653">
        <w:rPr>
          <w:rFonts w:eastAsia="SimHei" w:hint="eastAsia"/>
          <w:lang w:val="en-GB"/>
        </w:rPr>
        <w:t>，</w:t>
      </w:r>
      <w:r w:rsidR="00244AF4" w:rsidRPr="00DE0653">
        <w:rPr>
          <w:rFonts w:eastAsia="SimHei" w:hint="eastAsia"/>
          <w:lang w:val="en-GB"/>
        </w:rPr>
        <w:t>国家应参与这种对话。</w:t>
      </w:r>
      <w:r w:rsidR="00244AF4" w:rsidRPr="00DE0653">
        <w:rPr>
          <w:rFonts w:eastAsia="SimHei"/>
          <w:color w:val="0000FF"/>
          <w:vertAlign w:val="superscript"/>
          <w:lang w:val="en-GB"/>
        </w:rPr>
        <w:footnoteReference w:id="72"/>
      </w:r>
      <w:r w:rsidR="007330FC" w:rsidRPr="00DE0653">
        <w:rPr>
          <w:rFonts w:eastAsia="SimHei" w:hint="eastAsia"/>
          <w:lang w:val="en-GB"/>
        </w:rPr>
        <w:t xml:space="preserve"> </w:t>
      </w:r>
      <w:r w:rsidR="00244AF4" w:rsidRPr="00DE0653">
        <w:rPr>
          <w:rFonts w:eastAsia="SimHei" w:hint="eastAsia"/>
          <w:lang w:val="en-GB"/>
        </w:rPr>
        <w:t>尽管如此</w:t>
      </w:r>
      <w:r w:rsidRPr="00DE0653">
        <w:rPr>
          <w:rFonts w:eastAsia="SimHei" w:hint="eastAsia"/>
          <w:lang w:val="en-GB"/>
        </w:rPr>
        <w:t>，</w:t>
      </w:r>
      <w:r w:rsidR="00244AF4" w:rsidRPr="00DE0653">
        <w:rPr>
          <w:rFonts w:eastAsia="SimHei" w:hint="eastAsia"/>
          <w:lang w:val="en-GB"/>
        </w:rPr>
        <w:t>确保保护集会背景下产生的各项权利可能会带来挑战。</w:t>
      </w:r>
    </w:p>
    <w:p w:rsidR="00244AF4" w:rsidRPr="00DE0653" w:rsidRDefault="004527D5" w:rsidP="00244AF4">
      <w:pPr>
        <w:pStyle w:val="SingleTxtGC"/>
        <w:rPr>
          <w:rFonts w:eastAsia="SimHei"/>
          <w:lang w:val="en-GB"/>
        </w:rPr>
      </w:pPr>
      <w:r w:rsidRPr="00DE0653">
        <w:rPr>
          <w:rFonts w:eastAsia="SimHei"/>
          <w:lang w:val="en-GB"/>
        </w:rPr>
        <w:t>98.</w:t>
      </w:r>
      <w:r w:rsidR="003C70F0" w:rsidRPr="00DE0653">
        <w:rPr>
          <w:rFonts w:eastAsia="SimHei"/>
          <w:lang w:val="en-GB"/>
        </w:rPr>
        <w:t xml:space="preserve">  </w:t>
      </w:r>
      <w:r w:rsidR="00244AF4" w:rsidRPr="00DE0653">
        <w:rPr>
          <w:rFonts w:eastAsia="SimHei" w:hint="eastAsia"/>
          <w:lang w:val="en-GB"/>
        </w:rPr>
        <w:t>以上实用建议可为各国如何履行其在集会背景下保护和增进人权的义务提供指导。然而</w:t>
      </w:r>
      <w:r w:rsidRPr="00DE0653">
        <w:rPr>
          <w:rFonts w:eastAsia="SimHei" w:hint="eastAsia"/>
          <w:lang w:val="en-GB"/>
        </w:rPr>
        <w:t>，</w:t>
      </w:r>
      <w:r w:rsidR="00244AF4" w:rsidRPr="00DE0653">
        <w:rPr>
          <w:rFonts w:eastAsia="SimHei" w:hint="eastAsia"/>
          <w:lang w:val="en-GB"/>
        </w:rPr>
        <w:t>这些建议只有在得到国家一级适当执行的情况下</w:t>
      </w:r>
      <w:r w:rsidRPr="00DE0653">
        <w:rPr>
          <w:rFonts w:eastAsia="SimHei" w:hint="eastAsia"/>
          <w:lang w:val="en-GB"/>
        </w:rPr>
        <w:t>，</w:t>
      </w:r>
      <w:r w:rsidR="00244AF4" w:rsidRPr="00DE0653">
        <w:rPr>
          <w:rFonts w:eastAsia="SimHei" w:hint="eastAsia"/>
          <w:lang w:val="en-GB"/>
        </w:rPr>
        <w:t>才能实现其全部价值。这将需要国家、国际组织、工商企业和民间社会采取深思熟虑的步骤。联合国应通过人权理事会</w:t>
      </w:r>
      <w:r w:rsidRPr="00DE0653">
        <w:rPr>
          <w:rFonts w:eastAsia="SimHei" w:hint="eastAsia"/>
          <w:lang w:val="en-GB"/>
        </w:rPr>
        <w:t>，</w:t>
      </w:r>
      <w:r w:rsidR="00244AF4" w:rsidRPr="00DE0653">
        <w:rPr>
          <w:rFonts w:eastAsia="SimHei" w:hint="eastAsia"/>
          <w:lang w:val="en-GB"/>
        </w:rPr>
        <w:t>包括通过普遍定期审议和其他特别机制以及通过条约机构系统和区域人权机构</w:t>
      </w:r>
      <w:r w:rsidRPr="00DE0653">
        <w:rPr>
          <w:rFonts w:eastAsia="SimHei" w:hint="eastAsia"/>
          <w:lang w:val="en-GB"/>
        </w:rPr>
        <w:t>，</w:t>
      </w:r>
      <w:r w:rsidR="00244AF4" w:rsidRPr="00DE0653">
        <w:rPr>
          <w:rFonts w:eastAsia="SimHei" w:hint="eastAsia"/>
          <w:lang w:val="en-GB"/>
        </w:rPr>
        <w:t>监测这些建议的遵守情况</w:t>
      </w:r>
      <w:r w:rsidRPr="00DE0653">
        <w:rPr>
          <w:rFonts w:eastAsia="SimHei" w:hint="eastAsia"/>
          <w:lang w:val="en-GB"/>
        </w:rPr>
        <w:t>，</w:t>
      </w:r>
      <w:r w:rsidR="00244AF4" w:rsidRPr="00DE0653">
        <w:rPr>
          <w:rFonts w:eastAsia="SimHei" w:hint="eastAsia"/>
          <w:lang w:val="en-GB"/>
        </w:rPr>
        <w:t>并应继续努力制定关于集会的国际法律标准。</w:t>
      </w:r>
    </w:p>
    <w:p w:rsidR="00B46406" w:rsidRPr="002D6A9C" w:rsidRDefault="00B46406">
      <w:pPr>
        <w:spacing w:before="240"/>
        <w:jc w:val="center"/>
        <w:rPr>
          <w:u w:val="single"/>
        </w:rPr>
      </w:pPr>
      <w:r>
        <w:rPr>
          <w:rFonts w:hint="eastAsia"/>
          <w:u w:val="single"/>
        </w:rPr>
        <w:tab/>
      </w:r>
      <w:r>
        <w:rPr>
          <w:rFonts w:hint="eastAsia"/>
          <w:u w:val="single"/>
        </w:rPr>
        <w:tab/>
      </w:r>
      <w:r>
        <w:rPr>
          <w:rFonts w:hint="eastAsia"/>
          <w:u w:val="single"/>
        </w:rPr>
        <w:tab/>
      </w:r>
      <w:r>
        <w:rPr>
          <w:u w:val="single"/>
        </w:rPr>
        <w:tab/>
      </w:r>
    </w:p>
    <w:sectPr w:rsidR="00B46406" w:rsidRPr="002D6A9C" w:rsidSect="005A4798">
      <w:headerReference w:type="even" r:id="rId12"/>
      <w:headerReference w:type="default" r:id="rId13"/>
      <w:footerReference w:type="even" r:id="rId14"/>
      <w:footerReference w:type="default" r:id="rId15"/>
      <w:footerReference w:type="first" r:id="rId16"/>
      <w:endnotePr>
        <w:numFmt w:val="decimal"/>
      </w:endnotePr>
      <w:pgSz w:w="11906" w:h="16838" w:code="9"/>
      <w:pgMar w:top="1701" w:right="1134" w:bottom="2268" w:left="1134" w:header="1134" w:footer="1701" w:gutter="0"/>
      <w:cols w:space="425"/>
      <w:titlePg/>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E98" w:rsidRPr="000D319F" w:rsidRDefault="00B03E98" w:rsidP="000D319F">
      <w:pPr>
        <w:pStyle w:val="Footer"/>
        <w:spacing w:after="240"/>
        <w:ind w:left="907"/>
        <w:rPr>
          <w:rFonts w:asciiTheme="majorBidi" w:eastAsia="SimSun" w:hAnsiTheme="majorBidi" w:cstheme="majorBidi"/>
          <w:sz w:val="21"/>
          <w:szCs w:val="21"/>
          <w:lang w:val="en-US"/>
        </w:rPr>
      </w:pPr>
    </w:p>
    <w:p w:rsidR="00B03E98" w:rsidRPr="000D319F" w:rsidRDefault="00B03E98" w:rsidP="000D319F">
      <w:pPr>
        <w:pStyle w:val="Footer"/>
        <w:spacing w:after="240"/>
        <w:ind w:left="907"/>
        <w:rPr>
          <w:rFonts w:eastAsia="楷体"/>
          <w:sz w:val="21"/>
          <w:szCs w:val="21"/>
          <w:lang w:val="en-US" w:eastAsia="zh-CN"/>
        </w:rPr>
      </w:pPr>
      <w:r w:rsidRPr="000D319F">
        <w:rPr>
          <w:rFonts w:eastAsia="楷体" w:hint="eastAsia"/>
          <w:sz w:val="21"/>
          <w:szCs w:val="21"/>
          <w:lang w:val="en-US" w:eastAsia="zh-CN"/>
        </w:rPr>
        <w:t>注</w:t>
      </w:r>
    </w:p>
  </w:endnote>
  <w:endnote w:type="continuationSeparator" w:id="0">
    <w:p w:rsidR="00B03E98" w:rsidRPr="000D319F" w:rsidRDefault="00B03E98" w:rsidP="000D319F">
      <w:pPr>
        <w:pStyle w:val="Footer"/>
      </w:pPr>
    </w:p>
  </w:endnote>
  <w:endnote w:type="continuationNotice" w:id="1">
    <w:p w:rsidR="00B03E98" w:rsidRDefault="00B03E98">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楷体">
    <w:altName w:val="Arial Unicode MS"/>
    <w:charset w:val="86"/>
    <w:family w:val="modern"/>
    <w:pitch w:val="fixed"/>
    <w:sig w:usb0="00000000"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 New Roman">
    <w:altName w:val="Times New Roman"/>
    <w:panose1 w:val="00000000000000000000"/>
    <w:charset w:val="00"/>
    <w:family w:val="roman"/>
    <w:notTrueType/>
    <w:pitch w:val="default"/>
    <w:sig w:usb0="00000000" w:usb1="00000000" w:usb2="00000000" w:usb3="00000000" w:csb0="00000000" w:csb1="00000000"/>
  </w:font>
  <w:font w:name="C39T30Lfz">
    <w:altName w:val="Symbol"/>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7D5" w:rsidRPr="00244AF4" w:rsidRDefault="00902276" w:rsidP="00244AF4">
    <w:pPr>
      <w:pStyle w:val="Footer"/>
      <w:tabs>
        <w:tab w:val="clear" w:pos="431"/>
        <w:tab w:val="right" w:pos="9638"/>
      </w:tabs>
      <w:rPr>
        <w:rStyle w:val="PageNumber"/>
      </w:rPr>
    </w:pPr>
    <w:r>
      <w:rPr>
        <w:rStyle w:val="PageNumber"/>
      </w:rPr>
      <w:fldChar w:fldCharType="begin"/>
    </w:r>
    <w:r w:rsidR="004527D5">
      <w:rPr>
        <w:rStyle w:val="PageNumber"/>
      </w:rPr>
      <w:instrText xml:space="preserve"> PAGE  \* MERGEFORMAT </w:instrText>
    </w:r>
    <w:r>
      <w:rPr>
        <w:rStyle w:val="PageNumber"/>
      </w:rPr>
      <w:fldChar w:fldCharType="separate"/>
    </w:r>
    <w:r w:rsidR="002E2670">
      <w:rPr>
        <w:rStyle w:val="PageNumber"/>
        <w:noProof/>
      </w:rPr>
      <w:t>22</w:t>
    </w:r>
    <w:r>
      <w:rPr>
        <w:rStyle w:val="PageNumber"/>
      </w:rPr>
      <w:fldChar w:fldCharType="end"/>
    </w:r>
    <w:r w:rsidR="004527D5">
      <w:rPr>
        <w:rStyle w:val="PageNumber"/>
      </w:rPr>
      <w:tab/>
    </w:r>
    <w:r w:rsidR="004527D5" w:rsidRPr="00244AF4">
      <w:rPr>
        <w:rStyle w:val="PageNumber"/>
        <w:b w:val="0"/>
        <w:sz w:val="16"/>
      </w:rPr>
      <w:t>GE.16-01527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7D5" w:rsidRPr="00244AF4" w:rsidRDefault="004527D5" w:rsidP="00244AF4">
    <w:pPr>
      <w:pStyle w:val="Footer"/>
      <w:tabs>
        <w:tab w:val="clear" w:pos="431"/>
        <w:tab w:val="right" w:pos="9638"/>
      </w:tabs>
      <w:rPr>
        <w:rStyle w:val="PageNumber"/>
      </w:rPr>
    </w:pPr>
    <w:r>
      <w:t>GE.16-01527</w:t>
    </w:r>
    <w:r>
      <w:tab/>
    </w:r>
    <w:r w:rsidR="00902276">
      <w:rPr>
        <w:rStyle w:val="PageNumber"/>
      </w:rPr>
      <w:fldChar w:fldCharType="begin"/>
    </w:r>
    <w:r>
      <w:rPr>
        <w:rStyle w:val="PageNumber"/>
      </w:rPr>
      <w:instrText xml:space="preserve"> PAGE  \* MERGEFORMAT </w:instrText>
    </w:r>
    <w:r w:rsidR="00902276">
      <w:rPr>
        <w:rStyle w:val="PageNumber"/>
      </w:rPr>
      <w:fldChar w:fldCharType="separate"/>
    </w:r>
    <w:r w:rsidR="002E2670">
      <w:rPr>
        <w:rStyle w:val="PageNumber"/>
        <w:noProof/>
      </w:rPr>
      <w:t>21</w:t>
    </w:r>
    <w:r w:rsidR="00902276">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7D5" w:rsidRPr="008B4347" w:rsidRDefault="004527D5" w:rsidP="008F3949">
    <w:pPr>
      <w:pStyle w:val="Footer"/>
      <w:tabs>
        <w:tab w:val="left" w:pos="1701"/>
        <w:tab w:val="left" w:pos="2552"/>
        <w:tab w:val="left" w:pos="8448"/>
      </w:tabs>
      <w:spacing w:before="360"/>
      <w:rPr>
        <w:rFonts w:eastAsiaTheme="minorEastAsia"/>
        <w:b/>
        <w:sz w:val="21"/>
        <w:lang w:eastAsia="zh-CN"/>
      </w:rPr>
    </w:pPr>
    <w:r>
      <w:rPr>
        <w:sz w:val="20"/>
        <w:lang w:eastAsia="zh-CN"/>
      </w:rPr>
      <w:t>GE.16-01527</w:t>
    </w:r>
    <w:r w:rsidRPr="00EE277A">
      <w:rPr>
        <w:sz w:val="20"/>
        <w:lang w:eastAsia="zh-CN"/>
      </w:rPr>
      <w:t xml:space="preserve"> (C)</w:t>
    </w:r>
    <w:r>
      <w:rPr>
        <w:sz w:val="20"/>
        <w:lang w:eastAsia="zh-CN"/>
      </w:rPr>
      <w:tab/>
    </w:r>
    <w:r>
      <w:rPr>
        <w:rFonts w:eastAsiaTheme="minorEastAsia" w:hint="eastAsia"/>
        <w:sz w:val="20"/>
        <w:lang w:eastAsia="zh-CN"/>
      </w:rPr>
      <w:t>2302</w:t>
    </w:r>
    <w:r>
      <w:rPr>
        <w:sz w:val="20"/>
        <w:lang w:eastAsia="zh-CN"/>
      </w:rPr>
      <w:t>1</w:t>
    </w:r>
    <w:r>
      <w:rPr>
        <w:rFonts w:eastAsiaTheme="minorEastAsia"/>
        <w:sz w:val="20"/>
        <w:lang w:eastAsia="zh-CN"/>
      </w:rPr>
      <w:t>6</w:t>
    </w:r>
    <w:r>
      <w:rPr>
        <w:sz w:val="20"/>
        <w:lang w:eastAsia="zh-CN"/>
      </w:rPr>
      <w:tab/>
    </w:r>
    <w:r>
      <w:rPr>
        <w:rFonts w:eastAsiaTheme="minorEastAsia" w:hint="eastAsia"/>
        <w:sz w:val="20"/>
        <w:lang w:eastAsia="zh-CN"/>
      </w:rPr>
      <w:t>2</w:t>
    </w:r>
    <w:r w:rsidR="008F3949">
      <w:rPr>
        <w:rFonts w:eastAsiaTheme="minorEastAsia" w:hint="eastAsia"/>
        <w:sz w:val="20"/>
        <w:lang w:eastAsia="zh-CN"/>
      </w:rPr>
      <w:t>5</w:t>
    </w:r>
    <w:r>
      <w:rPr>
        <w:rFonts w:eastAsiaTheme="minorEastAsia" w:hint="eastAsia"/>
        <w:sz w:val="20"/>
        <w:lang w:eastAsia="zh-CN"/>
      </w:rPr>
      <w:t>02</w:t>
    </w:r>
    <w:r>
      <w:rPr>
        <w:sz w:val="20"/>
        <w:lang w:eastAsia="zh-CN"/>
      </w:rPr>
      <w:t>1</w:t>
    </w:r>
    <w:r>
      <w:rPr>
        <w:rFonts w:eastAsiaTheme="minorEastAsia"/>
        <w:sz w:val="20"/>
        <w:lang w:eastAsia="zh-CN"/>
      </w:rPr>
      <w:t>6</w:t>
    </w:r>
  </w:p>
  <w:p w:rsidR="004527D5" w:rsidRPr="00487939" w:rsidRDefault="004527D5" w:rsidP="005A4798">
    <w:pPr>
      <w:pStyle w:val="Footer"/>
      <w:tabs>
        <w:tab w:val="clear" w:pos="431"/>
        <w:tab w:val="right" w:pos="8450"/>
      </w:tabs>
      <w:rPr>
        <w:sz w:val="20"/>
        <w:lang w:val="en-US" w:eastAsia="zh-CN"/>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b/>
        <w:noProof/>
        <w:snapToGrid/>
        <w:sz w:val="21"/>
        <w:lang w:val="en-US"/>
      </w:rPr>
      <w:drawing>
        <wp:anchor distT="0" distB="0" distL="114300" distR="114300" simplePos="0" relativeHeight="251658240" behindDoc="0" locked="0" layoutInCell="1" allowOverlap="1">
          <wp:simplePos x="0" y="0"/>
          <wp:positionH relativeFrom="column">
            <wp:align>right</wp:align>
          </wp:positionH>
          <wp:positionV relativeFrom="paragraph">
            <wp:posOffset>-310515</wp:posOffset>
          </wp:positionV>
          <wp:extent cx="638175" cy="638175"/>
          <wp:effectExtent l="0" t="0" r="9525" b="9525"/>
          <wp:wrapNone/>
          <wp:docPr id="3" name="图片 1" descr="http://undocs.org/m2/QRCode.ashx?DS=A/HRC/31/66&amp;Size=2 &amp;Lan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31/66&amp;Size=2 &amp;Lang=C"/>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175" cy="638175"/>
                  </a:xfrm>
                  <a:prstGeom prst="rect">
                    <a:avLst/>
                  </a:prstGeom>
                  <a:noFill/>
                  <a:ln>
                    <a:noFill/>
                  </a:ln>
                </pic:spPr>
              </pic:pic>
            </a:graphicData>
          </a:graphic>
        </wp:anchor>
      </w:drawing>
    </w:r>
    <w:r>
      <w:rPr>
        <w:b/>
        <w:sz w:val="21"/>
      </w:rPr>
      <w:tab/>
    </w:r>
    <w:r>
      <w:rPr>
        <w:rFonts w:hint="eastAsia"/>
        <w:b/>
        <w:noProof/>
        <w:snapToGrid/>
        <w:sz w:val="21"/>
        <w:lang w:val="en-US"/>
      </w:rPr>
      <w:drawing>
        <wp:inline distT="0" distB="0" distL="0" distR="0">
          <wp:extent cx="618490" cy="228600"/>
          <wp:effectExtent l="0" t="0" r="0" b="0"/>
          <wp:docPr id="2" name="图片 2" descr="recycle_Chin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recycle_Chinese"/>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8490" cy="22860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E98" w:rsidRPr="000157B1" w:rsidRDefault="00B03E98" w:rsidP="00943B69">
      <w:pPr>
        <w:pStyle w:val="Footer"/>
        <w:tabs>
          <w:tab w:val="clear" w:pos="431"/>
          <w:tab w:val="right" w:pos="2155"/>
        </w:tabs>
        <w:spacing w:after="80" w:line="240" w:lineRule="atLeast"/>
        <w:ind w:left="680"/>
        <w:rPr>
          <w:u w:val="single"/>
          <w:lang w:eastAsia="zh-CN"/>
        </w:rPr>
      </w:pPr>
      <w:r>
        <w:rPr>
          <w:u w:val="single"/>
          <w:lang w:eastAsia="zh-CN"/>
        </w:rPr>
        <w:tab/>
      </w:r>
    </w:p>
  </w:footnote>
  <w:footnote w:type="continuationSeparator" w:id="0">
    <w:p w:rsidR="00B03E98" w:rsidRPr="000157B1" w:rsidRDefault="00B03E98" w:rsidP="00943B69">
      <w:pPr>
        <w:pStyle w:val="Footer"/>
        <w:tabs>
          <w:tab w:val="clear" w:pos="431"/>
          <w:tab w:val="right" w:pos="2155"/>
        </w:tabs>
        <w:spacing w:after="80" w:line="240" w:lineRule="atLeast"/>
        <w:ind w:left="680"/>
        <w:rPr>
          <w:u w:val="single"/>
          <w:lang w:eastAsia="zh-CN"/>
        </w:rPr>
      </w:pPr>
      <w:r>
        <w:rPr>
          <w:u w:val="single"/>
          <w:lang w:eastAsia="zh-CN"/>
        </w:rPr>
        <w:tab/>
      </w:r>
    </w:p>
  </w:footnote>
  <w:footnote w:type="continuationNotice" w:id="1">
    <w:p w:rsidR="00B03E98" w:rsidRDefault="00B03E98"/>
  </w:footnote>
  <w:footnote w:id="2">
    <w:p w:rsidR="004527D5" w:rsidRPr="001C7314" w:rsidRDefault="004527D5" w:rsidP="003C70F0">
      <w:pPr>
        <w:pStyle w:val="EndnoteText"/>
        <w:rPr>
          <w:lang w:val="fr-CH"/>
        </w:rPr>
      </w:pPr>
      <w:r>
        <w:rPr>
          <w:lang w:val="fr-CH"/>
        </w:rPr>
        <w:tab/>
      </w:r>
      <w:r>
        <w:rPr>
          <w:rFonts w:hint="eastAsia"/>
          <w:lang w:val="fr-CH"/>
        </w:rPr>
        <w:tab/>
      </w:r>
      <w:r w:rsidRPr="006A5AF9">
        <w:rPr>
          <w:rStyle w:val="FootnoteReference"/>
          <w:rFonts w:eastAsia="SimSun"/>
        </w:rPr>
        <w:footnoteRef/>
      </w:r>
      <w:r w:rsidRPr="001C7314">
        <w:rPr>
          <w:lang w:val="fr-CH"/>
        </w:rPr>
        <w:tab/>
      </w:r>
      <w:r>
        <w:rPr>
          <w:rFonts w:hint="eastAsia"/>
        </w:rPr>
        <w:t>见</w:t>
      </w:r>
      <w:r w:rsidR="0022563B">
        <w:rPr>
          <w:lang w:val="fr-CH"/>
        </w:rPr>
        <w:t>A</w:t>
      </w:r>
      <w:r w:rsidRPr="001C7314">
        <w:rPr>
          <w:lang w:val="fr-CH"/>
        </w:rPr>
        <w:t>/</w:t>
      </w:r>
      <w:r w:rsidR="0022563B">
        <w:rPr>
          <w:lang w:val="fr-CH"/>
        </w:rPr>
        <w:t>HRC</w:t>
      </w:r>
      <w:r w:rsidRPr="001C7314">
        <w:rPr>
          <w:lang w:val="fr-CH"/>
        </w:rPr>
        <w:t>/</w:t>
      </w:r>
      <w:r w:rsidR="0022563B">
        <w:rPr>
          <w:lang w:val="fr-CH"/>
        </w:rPr>
        <w:t>19</w:t>
      </w:r>
      <w:r w:rsidRPr="001C7314">
        <w:rPr>
          <w:lang w:val="fr-CH"/>
        </w:rPr>
        <w:t>/</w:t>
      </w:r>
      <w:r w:rsidR="0022563B">
        <w:rPr>
          <w:lang w:val="fr-CH"/>
        </w:rPr>
        <w:t>4</w:t>
      </w:r>
      <w:r w:rsidRPr="001C7314">
        <w:rPr>
          <w:lang w:val="fr-CH"/>
        </w:rPr>
        <w:t>0</w:t>
      </w:r>
      <w:r>
        <w:rPr>
          <w:rFonts w:hint="eastAsia"/>
        </w:rPr>
        <w:t>、</w:t>
      </w:r>
      <w:r w:rsidR="0022563B">
        <w:rPr>
          <w:lang w:val="fr-CH"/>
        </w:rPr>
        <w:t>A</w:t>
      </w:r>
      <w:r w:rsidRPr="001C7314">
        <w:rPr>
          <w:lang w:val="fr-CH"/>
        </w:rPr>
        <w:t>/</w:t>
      </w:r>
      <w:r w:rsidR="0022563B">
        <w:rPr>
          <w:lang w:val="fr-CH"/>
        </w:rPr>
        <w:t>HRC</w:t>
      </w:r>
      <w:r w:rsidRPr="001C7314">
        <w:rPr>
          <w:lang w:val="fr-CH"/>
        </w:rPr>
        <w:t>/</w:t>
      </w:r>
      <w:r w:rsidR="0022563B">
        <w:rPr>
          <w:lang w:val="fr-CH"/>
        </w:rPr>
        <w:t>22</w:t>
      </w:r>
      <w:r w:rsidRPr="001C7314">
        <w:rPr>
          <w:lang w:val="fr-CH"/>
        </w:rPr>
        <w:t>/</w:t>
      </w:r>
      <w:r w:rsidR="0022563B">
        <w:rPr>
          <w:lang w:val="fr-CH"/>
        </w:rPr>
        <w:t>28</w:t>
      </w:r>
      <w:r>
        <w:rPr>
          <w:rFonts w:hint="eastAsia"/>
        </w:rPr>
        <w:t>以及</w:t>
      </w:r>
      <w:r w:rsidR="0022563B">
        <w:rPr>
          <w:lang w:val="fr-CH"/>
        </w:rPr>
        <w:t>A</w:t>
      </w:r>
      <w:r w:rsidRPr="001C7314">
        <w:rPr>
          <w:lang w:val="fr-CH"/>
        </w:rPr>
        <w:t>/</w:t>
      </w:r>
      <w:r w:rsidR="0022563B">
        <w:rPr>
          <w:lang w:val="fr-CH"/>
        </w:rPr>
        <w:t>HRC</w:t>
      </w:r>
      <w:r w:rsidRPr="001C7314">
        <w:rPr>
          <w:lang w:val="fr-CH"/>
        </w:rPr>
        <w:t>/</w:t>
      </w:r>
      <w:r w:rsidR="0022563B">
        <w:rPr>
          <w:lang w:val="fr-CH"/>
        </w:rPr>
        <w:t>25</w:t>
      </w:r>
      <w:r w:rsidRPr="001C7314">
        <w:rPr>
          <w:lang w:val="fr-CH"/>
        </w:rPr>
        <w:t>/</w:t>
      </w:r>
      <w:r w:rsidR="0022563B">
        <w:rPr>
          <w:lang w:val="fr-CH"/>
        </w:rPr>
        <w:t>32</w:t>
      </w:r>
      <w:r>
        <w:rPr>
          <w:rFonts w:hint="eastAsia"/>
        </w:rPr>
        <w:t>和</w:t>
      </w:r>
      <w:r w:rsidR="0022563B">
        <w:rPr>
          <w:lang w:val="fr-CH"/>
        </w:rPr>
        <w:t>Corr</w:t>
      </w:r>
      <w:r w:rsidRPr="001C7314">
        <w:rPr>
          <w:lang w:val="fr-CH"/>
        </w:rPr>
        <w:t>.</w:t>
      </w:r>
      <w:r w:rsidR="0022563B">
        <w:rPr>
          <w:lang w:val="fr-CH"/>
        </w:rPr>
        <w:t>1</w:t>
      </w:r>
      <w:r>
        <w:rPr>
          <w:rFonts w:hint="eastAsia"/>
        </w:rPr>
        <w:t>。</w:t>
      </w:r>
    </w:p>
  </w:footnote>
  <w:footnote w:id="3">
    <w:p w:rsidR="004527D5" w:rsidRPr="001C7314" w:rsidRDefault="004527D5" w:rsidP="003C70F0">
      <w:pPr>
        <w:pStyle w:val="EndnoteText"/>
        <w:rPr>
          <w:lang w:val="fr-CH"/>
        </w:rPr>
      </w:pPr>
      <w:r w:rsidRPr="001C7314">
        <w:rPr>
          <w:lang w:val="fr-CH"/>
        </w:rPr>
        <w:tab/>
      </w:r>
      <w:r>
        <w:rPr>
          <w:rFonts w:hint="eastAsia"/>
          <w:lang w:val="fr-CH"/>
        </w:rPr>
        <w:tab/>
      </w:r>
      <w:r w:rsidRPr="006A5AF9">
        <w:rPr>
          <w:rStyle w:val="FootnoteReference"/>
          <w:rFonts w:eastAsia="SimSun"/>
        </w:rPr>
        <w:footnoteRef/>
      </w:r>
      <w:r w:rsidRPr="006A5AF9">
        <w:rPr>
          <w:color w:val="0000FF"/>
          <w:vertAlign w:val="superscript"/>
          <w:lang w:val="fr-CH"/>
        </w:rPr>
        <w:tab/>
      </w:r>
      <w:r>
        <w:rPr>
          <w:rFonts w:hint="eastAsia"/>
          <w:lang w:val="fr-CH"/>
        </w:rPr>
        <w:t>感谢</w:t>
      </w:r>
      <w:r w:rsidR="0022563B">
        <w:rPr>
          <w:lang w:val="fr-CH"/>
        </w:rPr>
        <w:t>Eleanor</w:t>
      </w:r>
      <w:r w:rsidRPr="001C7314">
        <w:rPr>
          <w:lang w:val="fr-CH"/>
        </w:rPr>
        <w:t xml:space="preserve"> </w:t>
      </w:r>
      <w:r w:rsidR="0022563B">
        <w:rPr>
          <w:lang w:val="fr-CH"/>
        </w:rPr>
        <w:t>Jenkin</w:t>
      </w:r>
      <w:r>
        <w:rPr>
          <w:rFonts w:hint="eastAsia"/>
          <w:lang w:val="fr-CH"/>
        </w:rPr>
        <w:t>和</w:t>
      </w:r>
      <w:r w:rsidR="0022563B">
        <w:rPr>
          <w:lang w:val="fr-CH"/>
        </w:rPr>
        <w:t>Kathleen</w:t>
      </w:r>
      <w:r w:rsidRPr="001C7314">
        <w:rPr>
          <w:lang w:val="fr-CH"/>
        </w:rPr>
        <w:t xml:space="preserve"> </w:t>
      </w:r>
      <w:r w:rsidR="0022563B">
        <w:rPr>
          <w:lang w:val="fr-CH"/>
        </w:rPr>
        <w:t>Hardy</w:t>
      </w:r>
      <w:r>
        <w:rPr>
          <w:rFonts w:hint="eastAsia"/>
          <w:lang w:val="fr-CH"/>
        </w:rPr>
        <w:t>协助编写本报告。</w:t>
      </w:r>
    </w:p>
  </w:footnote>
  <w:footnote w:id="4">
    <w:p w:rsidR="004527D5" w:rsidRPr="00337948" w:rsidRDefault="004527D5" w:rsidP="003C70F0">
      <w:pPr>
        <w:pStyle w:val="EndnoteText"/>
      </w:pPr>
      <w:r w:rsidRPr="001C7314">
        <w:rPr>
          <w:lang w:val="fr-CH"/>
        </w:rPr>
        <w:tab/>
      </w:r>
      <w:r>
        <w:rPr>
          <w:rFonts w:hint="eastAsia"/>
          <w:lang w:val="fr-CH"/>
        </w:rPr>
        <w:tab/>
      </w:r>
      <w:r w:rsidRPr="006A5AF9">
        <w:rPr>
          <w:rStyle w:val="FootnoteReference"/>
          <w:rFonts w:eastAsia="SimSun"/>
        </w:rPr>
        <w:footnoteRef/>
      </w:r>
      <w:r w:rsidRPr="00337948">
        <w:tab/>
      </w:r>
      <w:r w:rsidR="0022563B">
        <w:rPr>
          <w:rFonts w:hint="eastAsia"/>
        </w:rPr>
        <w:t>2</w:t>
      </w:r>
      <w:r>
        <w:rPr>
          <w:rFonts w:hint="eastAsia"/>
        </w:rPr>
        <w:t>0</w:t>
      </w:r>
      <w:r w:rsidR="0022563B">
        <w:rPr>
          <w:rFonts w:hint="eastAsia"/>
        </w:rPr>
        <w:t>15</w:t>
      </w:r>
      <w:r>
        <w:rPr>
          <w:rFonts w:hint="eastAsia"/>
        </w:rPr>
        <w:t>年</w:t>
      </w:r>
      <w:r w:rsidR="0022563B">
        <w:rPr>
          <w:rFonts w:hint="eastAsia"/>
        </w:rPr>
        <w:t>6</w:t>
      </w:r>
      <w:r>
        <w:rPr>
          <w:rFonts w:hint="eastAsia"/>
        </w:rPr>
        <w:t>月在日内瓦举行了第一次会议。由于会议期间一些国家提出请求，为非洲和中东</w:t>
      </w:r>
      <w:r>
        <w:rPr>
          <w:rFonts w:hint="eastAsia"/>
        </w:rPr>
        <w:t>(</w:t>
      </w:r>
      <w:r>
        <w:rPr>
          <w:rFonts w:hint="eastAsia"/>
        </w:rPr>
        <w:t>比勒陀利亚</w:t>
      </w:r>
      <w:r>
        <w:rPr>
          <w:rFonts w:hint="eastAsia"/>
        </w:rPr>
        <w:t>)</w:t>
      </w:r>
      <w:r>
        <w:rPr>
          <w:rFonts w:hint="eastAsia"/>
        </w:rPr>
        <w:t>以及亚洲及太平洋区域</w:t>
      </w:r>
      <w:r>
        <w:rPr>
          <w:rFonts w:hint="eastAsia"/>
        </w:rPr>
        <w:t>(</w:t>
      </w:r>
      <w:r>
        <w:rPr>
          <w:rFonts w:hint="eastAsia"/>
        </w:rPr>
        <w:t>土耳其</w:t>
      </w:r>
      <w:r w:rsidRPr="003819BC">
        <w:rPr>
          <w:rFonts w:hint="eastAsia"/>
        </w:rPr>
        <w:t>伊斯坦布尔</w:t>
      </w:r>
      <w:r>
        <w:rPr>
          <w:rFonts w:hint="eastAsia"/>
        </w:rPr>
        <w:t>)</w:t>
      </w:r>
      <w:r>
        <w:rPr>
          <w:rFonts w:hint="eastAsia"/>
        </w:rPr>
        <w:t>各国举行了区域协商会议。</w:t>
      </w:r>
      <w:r w:rsidR="0022563B">
        <w:rPr>
          <w:rFonts w:hint="eastAsia"/>
        </w:rPr>
        <w:t>2</w:t>
      </w:r>
      <w:r>
        <w:rPr>
          <w:rFonts w:hint="eastAsia"/>
        </w:rPr>
        <w:t>0</w:t>
      </w:r>
      <w:r w:rsidR="0022563B">
        <w:rPr>
          <w:rFonts w:hint="eastAsia"/>
        </w:rPr>
        <w:t>15</w:t>
      </w:r>
      <w:r>
        <w:rPr>
          <w:rFonts w:hint="eastAsia"/>
        </w:rPr>
        <w:t>年</w:t>
      </w:r>
      <w:r w:rsidR="0022563B">
        <w:rPr>
          <w:rFonts w:hint="eastAsia"/>
        </w:rPr>
        <w:t>1</w:t>
      </w:r>
      <w:r>
        <w:rPr>
          <w:rFonts w:hint="eastAsia"/>
        </w:rPr>
        <w:t>0</w:t>
      </w:r>
      <w:r>
        <w:rPr>
          <w:rFonts w:hint="eastAsia"/>
        </w:rPr>
        <w:t>月在日内瓦举行了面向所有国家的最后一次协商会议，共有</w:t>
      </w:r>
      <w:r w:rsidR="0022563B">
        <w:rPr>
          <w:rFonts w:hint="eastAsia"/>
        </w:rPr>
        <w:t>54</w:t>
      </w:r>
      <w:r>
        <w:rPr>
          <w:rFonts w:hint="eastAsia"/>
        </w:rPr>
        <w:t>国参会。</w:t>
      </w:r>
    </w:p>
  </w:footnote>
  <w:footnote w:id="5">
    <w:p w:rsidR="004527D5" w:rsidRPr="00337948" w:rsidRDefault="004527D5" w:rsidP="003C70F0">
      <w:pPr>
        <w:pStyle w:val="EndnoteText"/>
      </w:pPr>
      <w:r w:rsidRPr="00337948">
        <w:tab/>
      </w:r>
      <w:r>
        <w:rPr>
          <w:rFonts w:hint="eastAsia"/>
        </w:rPr>
        <w:tab/>
      </w:r>
      <w:r w:rsidRPr="006A5AF9">
        <w:rPr>
          <w:rStyle w:val="FootnoteReference"/>
          <w:rFonts w:eastAsia="SimSun"/>
        </w:rPr>
        <w:footnoteRef/>
      </w:r>
      <w:r w:rsidRPr="00337948">
        <w:tab/>
      </w:r>
      <w:r>
        <w:rPr>
          <w:rFonts w:hint="eastAsia"/>
        </w:rPr>
        <w:t>这些协商会议分别举行于</w:t>
      </w:r>
      <w:r w:rsidRPr="003819BC">
        <w:rPr>
          <w:rFonts w:hint="eastAsia"/>
        </w:rPr>
        <w:t>圣地亚哥举行</w:t>
      </w:r>
      <w:r>
        <w:rPr>
          <w:rFonts w:hint="eastAsia"/>
        </w:rPr>
        <w:t>(</w:t>
      </w:r>
      <w:r w:rsidRPr="003819BC">
        <w:rPr>
          <w:rFonts w:hint="eastAsia"/>
        </w:rPr>
        <w:t>美洲和加勒比</w:t>
      </w:r>
      <w:r>
        <w:rPr>
          <w:rFonts w:hint="eastAsia"/>
        </w:rPr>
        <w:t>)</w:t>
      </w:r>
      <w:r>
        <w:rPr>
          <w:rFonts w:hint="eastAsia"/>
        </w:rPr>
        <w:t>、</w:t>
      </w:r>
      <w:r w:rsidRPr="003819BC">
        <w:rPr>
          <w:rFonts w:hint="eastAsia"/>
        </w:rPr>
        <w:t>比勒陀利亚</w:t>
      </w:r>
      <w:r>
        <w:rPr>
          <w:rFonts w:hint="eastAsia"/>
        </w:rPr>
        <w:t>(</w:t>
      </w:r>
      <w:r w:rsidRPr="003819BC">
        <w:rPr>
          <w:rFonts w:hint="eastAsia"/>
        </w:rPr>
        <w:t>非洲和中东</w:t>
      </w:r>
      <w:r>
        <w:rPr>
          <w:rFonts w:hint="eastAsia"/>
        </w:rPr>
        <w:t>)</w:t>
      </w:r>
      <w:r>
        <w:rPr>
          <w:rFonts w:hint="eastAsia"/>
        </w:rPr>
        <w:t>、土耳其伊斯坦布尔</w:t>
      </w:r>
      <w:r>
        <w:rPr>
          <w:rFonts w:hint="eastAsia"/>
        </w:rPr>
        <w:t>(</w:t>
      </w:r>
      <w:r>
        <w:rPr>
          <w:rFonts w:hint="eastAsia"/>
        </w:rPr>
        <w:t>亚洲及</w:t>
      </w:r>
      <w:r w:rsidRPr="003819BC">
        <w:rPr>
          <w:rFonts w:hint="eastAsia"/>
        </w:rPr>
        <w:t>太平洋</w:t>
      </w:r>
      <w:r>
        <w:rPr>
          <w:rFonts w:hint="eastAsia"/>
        </w:rPr>
        <w:t>)</w:t>
      </w:r>
      <w:r w:rsidRPr="003819BC">
        <w:rPr>
          <w:rFonts w:hint="eastAsia"/>
        </w:rPr>
        <w:t>和日内瓦</w:t>
      </w:r>
      <w:r>
        <w:rPr>
          <w:rFonts w:hint="eastAsia"/>
        </w:rPr>
        <w:t>(</w:t>
      </w:r>
      <w:r w:rsidRPr="003819BC">
        <w:rPr>
          <w:rFonts w:hint="eastAsia"/>
        </w:rPr>
        <w:t>欧洲和中亚</w:t>
      </w:r>
      <w:r>
        <w:rPr>
          <w:rFonts w:hint="eastAsia"/>
        </w:rPr>
        <w:t>)</w:t>
      </w:r>
      <w:r>
        <w:rPr>
          <w:rFonts w:hint="eastAsia"/>
        </w:rPr>
        <w:t>。</w:t>
      </w:r>
      <w:r w:rsidR="0022563B">
        <w:rPr>
          <w:rFonts w:hint="eastAsia"/>
        </w:rPr>
        <w:t>9</w:t>
      </w:r>
      <w:r>
        <w:rPr>
          <w:rFonts w:hint="eastAsia"/>
        </w:rPr>
        <w:t>0</w:t>
      </w:r>
      <w:r>
        <w:rPr>
          <w:rFonts w:hint="eastAsia"/>
        </w:rPr>
        <w:t>多位专家参与了协商会议。</w:t>
      </w:r>
    </w:p>
  </w:footnote>
  <w:footnote w:id="6">
    <w:p w:rsidR="004527D5" w:rsidRPr="00337948" w:rsidRDefault="004527D5" w:rsidP="003C70F0">
      <w:pPr>
        <w:pStyle w:val="EndnoteText"/>
      </w:pPr>
      <w:r w:rsidRPr="00337948">
        <w:tab/>
      </w:r>
      <w:r>
        <w:rPr>
          <w:rFonts w:hint="eastAsia"/>
        </w:rPr>
        <w:tab/>
      </w:r>
      <w:r w:rsidRPr="006A5AF9">
        <w:rPr>
          <w:rStyle w:val="FootnoteReference"/>
          <w:rFonts w:eastAsia="SimSun"/>
        </w:rPr>
        <w:footnoteRef/>
      </w:r>
      <w:r w:rsidRPr="00337948">
        <w:tab/>
      </w:r>
      <w:r>
        <w:rPr>
          <w:rFonts w:hint="eastAsia"/>
        </w:rPr>
        <w:t>咨询小组成员为</w:t>
      </w:r>
      <w:r>
        <w:t>：</w:t>
      </w:r>
      <w:r w:rsidR="0022563B">
        <w:t>Otto</w:t>
      </w:r>
      <w:r w:rsidRPr="00337948">
        <w:t xml:space="preserve"> </w:t>
      </w:r>
      <w:proofErr w:type="spellStart"/>
      <w:r w:rsidR="0022563B">
        <w:t>Adang</w:t>
      </w:r>
      <w:proofErr w:type="spellEnd"/>
      <w:r>
        <w:rPr>
          <w:rFonts w:hint="eastAsia"/>
        </w:rPr>
        <w:t>、</w:t>
      </w:r>
      <w:r w:rsidR="0022563B">
        <w:t>Stuart</w:t>
      </w:r>
      <w:r w:rsidRPr="00337948">
        <w:t xml:space="preserve"> </w:t>
      </w:r>
      <w:r w:rsidR="0022563B">
        <w:t>Casey</w:t>
      </w:r>
      <w:r w:rsidRPr="00337948">
        <w:t>-</w:t>
      </w:r>
      <w:proofErr w:type="spellStart"/>
      <w:r w:rsidR="0022563B">
        <w:t>Maslen</w:t>
      </w:r>
      <w:proofErr w:type="spellEnd"/>
      <w:r>
        <w:rPr>
          <w:rFonts w:hint="eastAsia"/>
        </w:rPr>
        <w:t>、</w:t>
      </w:r>
      <w:proofErr w:type="spellStart"/>
      <w:r w:rsidR="0022563B">
        <w:t>Gast</w:t>
      </w:r>
      <w:r w:rsidRPr="00337948">
        <w:t>ó</w:t>
      </w:r>
      <w:r w:rsidR="0022563B">
        <w:t>n</w:t>
      </w:r>
      <w:proofErr w:type="spellEnd"/>
      <w:r w:rsidRPr="00337948">
        <w:t xml:space="preserve"> </w:t>
      </w:r>
      <w:r w:rsidR="0022563B">
        <w:t>Chillier</w:t>
      </w:r>
      <w:r>
        <w:rPr>
          <w:rFonts w:hint="eastAsia"/>
        </w:rPr>
        <w:t>、</w:t>
      </w:r>
      <w:proofErr w:type="spellStart"/>
      <w:r w:rsidR="0022563B">
        <w:t>Anara</w:t>
      </w:r>
      <w:proofErr w:type="spellEnd"/>
      <w:r w:rsidRPr="00337948">
        <w:t xml:space="preserve"> </w:t>
      </w:r>
      <w:proofErr w:type="spellStart"/>
      <w:r w:rsidR="0022563B">
        <w:t>Ibraeva</w:t>
      </w:r>
      <w:proofErr w:type="spellEnd"/>
      <w:r>
        <w:rPr>
          <w:rFonts w:hint="eastAsia"/>
        </w:rPr>
        <w:t>、</w:t>
      </w:r>
      <w:proofErr w:type="spellStart"/>
      <w:r w:rsidR="0022563B">
        <w:t>Asma</w:t>
      </w:r>
      <w:proofErr w:type="spellEnd"/>
      <w:r w:rsidRPr="00337948">
        <w:t xml:space="preserve"> </w:t>
      </w:r>
      <w:r w:rsidR="0022563B">
        <w:t>Jahangir</w:t>
      </w:r>
      <w:r>
        <w:rPr>
          <w:rFonts w:hint="eastAsia"/>
        </w:rPr>
        <w:t>、</w:t>
      </w:r>
      <w:r w:rsidR="0022563B">
        <w:t>Neil</w:t>
      </w:r>
      <w:r w:rsidRPr="00337948">
        <w:t xml:space="preserve"> </w:t>
      </w:r>
      <w:proofErr w:type="spellStart"/>
      <w:r w:rsidR="0022563B">
        <w:t>Jarman</w:t>
      </w:r>
      <w:proofErr w:type="spellEnd"/>
      <w:r>
        <w:rPr>
          <w:rFonts w:hint="eastAsia"/>
        </w:rPr>
        <w:t>、</w:t>
      </w:r>
      <w:r w:rsidR="0022563B">
        <w:t>Nicholas</w:t>
      </w:r>
      <w:r w:rsidRPr="00337948">
        <w:t xml:space="preserve"> </w:t>
      </w:r>
      <w:proofErr w:type="spellStart"/>
      <w:r w:rsidR="0022563B">
        <w:t>Opiyo</w:t>
      </w:r>
      <w:proofErr w:type="spellEnd"/>
      <w:r>
        <w:rPr>
          <w:rFonts w:hint="eastAsia"/>
        </w:rPr>
        <w:t>、</w:t>
      </w:r>
      <w:proofErr w:type="spellStart"/>
      <w:r w:rsidR="0022563B">
        <w:t>Ambiga</w:t>
      </w:r>
      <w:proofErr w:type="spellEnd"/>
      <w:r w:rsidRPr="00337948">
        <w:t xml:space="preserve"> </w:t>
      </w:r>
      <w:proofErr w:type="spellStart"/>
      <w:r w:rsidR="0022563B">
        <w:t>Sreenevasan</w:t>
      </w:r>
      <w:proofErr w:type="spellEnd"/>
      <w:r>
        <w:rPr>
          <w:rFonts w:hint="eastAsia"/>
        </w:rPr>
        <w:t>和</w:t>
      </w:r>
      <w:proofErr w:type="spellStart"/>
      <w:r w:rsidR="0022563B">
        <w:t>J</w:t>
      </w:r>
      <w:r>
        <w:t>ü</w:t>
      </w:r>
      <w:r w:rsidR="0022563B">
        <w:t>rg</w:t>
      </w:r>
      <w:proofErr w:type="spellEnd"/>
      <w:r>
        <w:t xml:space="preserve"> </w:t>
      </w:r>
      <w:proofErr w:type="spellStart"/>
      <w:r w:rsidR="0022563B">
        <w:t>Wichtermann</w:t>
      </w:r>
      <w:proofErr w:type="spellEnd"/>
      <w:r>
        <w:rPr>
          <w:rFonts w:hint="eastAsia"/>
        </w:rPr>
        <w:t>。</w:t>
      </w:r>
    </w:p>
  </w:footnote>
  <w:footnote w:id="7">
    <w:p w:rsidR="004527D5" w:rsidRPr="009421A2" w:rsidRDefault="004527D5" w:rsidP="003C70F0">
      <w:pPr>
        <w:pStyle w:val="EndnoteText"/>
      </w:pPr>
      <w:r w:rsidRPr="00B51DC3">
        <w:tab/>
      </w:r>
      <w:r>
        <w:rPr>
          <w:rFonts w:hint="eastAsia"/>
        </w:rPr>
        <w:tab/>
      </w:r>
      <w:r w:rsidRPr="006A5AF9">
        <w:rPr>
          <w:rStyle w:val="FootnoteReference"/>
          <w:rFonts w:eastAsia="SimSun"/>
        </w:rPr>
        <w:footnoteRef/>
      </w:r>
      <w:r w:rsidRPr="0093475D">
        <w:tab/>
      </w:r>
      <w:r>
        <w:rPr>
          <w:rFonts w:hint="eastAsia"/>
          <w:lang w:val="en-GB"/>
        </w:rPr>
        <w:t>欧洲人权法院</w:t>
      </w:r>
      <w:r>
        <w:rPr>
          <w:lang w:val="en-GB"/>
        </w:rPr>
        <w:t>，</w:t>
      </w:r>
      <w:r w:rsidR="0022563B">
        <w:rPr>
          <w:rFonts w:hint="eastAsia"/>
          <w:lang w:val="en-GB"/>
        </w:rPr>
        <w:t>“</w:t>
      </w:r>
      <w:proofErr w:type="spellStart"/>
      <w:r w:rsidR="0022563B">
        <w:t>Plattform</w:t>
      </w:r>
      <w:proofErr w:type="spellEnd"/>
      <w:r w:rsidRPr="00D763B9">
        <w:t xml:space="preserve"> </w:t>
      </w:r>
      <w:proofErr w:type="spellStart"/>
      <w:r w:rsidRPr="00D763B9">
        <w:t>Ä</w:t>
      </w:r>
      <w:r w:rsidR="0022563B">
        <w:t>rtze</w:t>
      </w:r>
      <w:proofErr w:type="spellEnd"/>
      <w:r w:rsidRPr="00D763B9">
        <w:t xml:space="preserve"> </w:t>
      </w:r>
      <w:proofErr w:type="spellStart"/>
      <w:r w:rsidR="0022563B">
        <w:t>f</w:t>
      </w:r>
      <w:r w:rsidRPr="00D763B9">
        <w:t>ü</w:t>
      </w:r>
      <w:r w:rsidR="0022563B">
        <w:t>r</w:t>
      </w:r>
      <w:proofErr w:type="spellEnd"/>
      <w:r w:rsidRPr="00D763B9">
        <w:t xml:space="preserve"> </w:t>
      </w:r>
      <w:r w:rsidR="0022563B">
        <w:t>das</w:t>
      </w:r>
      <w:r w:rsidRPr="00D763B9">
        <w:t xml:space="preserve"> </w:t>
      </w:r>
      <w:proofErr w:type="spellStart"/>
      <w:r w:rsidR="0022563B">
        <w:t>Leben</w:t>
      </w:r>
      <w:proofErr w:type="spellEnd"/>
      <w:r w:rsidRPr="00D763B9">
        <w:rPr>
          <w:rFonts w:hint="eastAsia"/>
        </w:rPr>
        <w:t>诉奥地利</w:t>
      </w:r>
      <w:r w:rsidR="0022563B">
        <w:rPr>
          <w:rFonts w:hint="eastAsia"/>
        </w:rPr>
        <w:t>”</w:t>
      </w:r>
      <w:r>
        <w:t>，</w:t>
      </w:r>
      <w:r>
        <w:rPr>
          <w:rFonts w:hint="eastAsia"/>
        </w:rPr>
        <w:t>第</w:t>
      </w:r>
      <w:r w:rsidR="0022563B">
        <w:t>1</w:t>
      </w:r>
      <w:r w:rsidRPr="009421A2">
        <w:t>0</w:t>
      </w:r>
      <w:r w:rsidR="0022563B">
        <w:t>126</w:t>
      </w:r>
      <w:r w:rsidRPr="009421A2">
        <w:t>/</w:t>
      </w:r>
      <w:r w:rsidR="0022563B">
        <w:t>82</w:t>
      </w:r>
      <w:r>
        <w:t>号申诉</w:t>
      </w:r>
      <w:r w:rsidRPr="00D763B9">
        <w:rPr>
          <w:rFonts w:hint="eastAsia"/>
        </w:rPr>
        <w:t>，</w:t>
      </w:r>
      <w:r w:rsidR="0022563B">
        <w:rPr>
          <w:rFonts w:hint="eastAsia"/>
        </w:rPr>
        <w:t>1988</w:t>
      </w:r>
      <w:r w:rsidRPr="00D763B9">
        <w:rPr>
          <w:rFonts w:hint="eastAsia"/>
        </w:rPr>
        <w:t>年</w:t>
      </w:r>
      <w:r w:rsidR="0022563B">
        <w:rPr>
          <w:rFonts w:hint="eastAsia"/>
        </w:rPr>
        <w:t>6</w:t>
      </w:r>
      <w:r w:rsidRPr="00D763B9">
        <w:rPr>
          <w:rFonts w:hint="eastAsia"/>
        </w:rPr>
        <w:t>月</w:t>
      </w:r>
      <w:r w:rsidR="0022563B">
        <w:rPr>
          <w:rFonts w:hint="eastAsia"/>
        </w:rPr>
        <w:t>21</w:t>
      </w:r>
      <w:r w:rsidRPr="00D763B9">
        <w:rPr>
          <w:rFonts w:hint="eastAsia"/>
        </w:rPr>
        <w:t>日。</w:t>
      </w:r>
    </w:p>
  </w:footnote>
  <w:footnote w:id="8">
    <w:p w:rsidR="004527D5" w:rsidRPr="009421A2" w:rsidRDefault="004527D5" w:rsidP="0022563B">
      <w:pPr>
        <w:pStyle w:val="EndnoteText"/>
        <w:tabs>
          <w:tab w:val="left" w:pos="1120"/>
        </w:tabs>
      </w:pPr>
      <w:r w:rsidRPr="0093475D">
        <w:tab/>
      </w:r>
      <w:r>
        <w:rPr>
          <w:rFonts w:hint="eastAsia"/>
        </w:rPr>
        <w:tab/>
      </w:r>
      <w:r w:rsidRPr="006A5AF9">
        <w:rPr>
          <w:rStyle w:val="FootnoteReference"/>
          <w:rFonts w:eastAsia="SimSun"/>
        </w:rPr>
        <w:footnoteRef/>
      </w:r>
      <w:r w:rsidRPr="00B51DC3">
        <w:tab/>
      </w:r>
      <w:r w:rsidR="0022563B">
        <w:rPr>
          <w:rFonts w:hint="eastAsia"/>
        </w:rPr>
        <w:tab/>
      </w:r>
      <w:r>
        <w:t>见</w:t>
      </w:r>
      <w:r w:rsidRPr="00C13272">
        <w:rPr>
          <w:rFonts w:hint="eastAsia"/>
        </w:rPr>
        <w:t>欧洲安全与合作组织</w:t>
      </w:r>
      <w:r>
        <w:rPr>
          <w:rFonts w:hint="eastAsia"/>
        </w:rPr>
        <w:t>(</w:t>
      </w:r>
      <w:r>
        <w:rPr>
          <w:rFonts w:hint="eastAsia"/>
        </w:rPr>
        <w:t>欧安组织</w:t>
      </w:r>
      <w:r>
        <w:rPr>
          <w:rFonts w:hint="eastAsia"/>
        </w:rPr>
        <w:t>)</w:t>
      </w:r>
      <w:r w:rsidRPr="00C13272">
        <w:rPr>
          <w:rFonts w:hint="eastAsia"/>
        </w:rPr>
        <w:t>民主体制和人权事务处</w:t>
      </w:r>
      <w:r>
        <w:rPr>
          <w:rFonts w:hint="eastAsia"/>
        </w:rPr>
        <w:t>(</w:t>
      </w:r>
      <w:r w:rsidRPr="00C13272">
        <w:rPr>
          <w:rFonts w:hint="eastAsia"/>
        </w:rPr>
        <w:t>民主人权处</w:t>
      </w:r>
      <w:r>
        <w:rPr>
          <w:rFonts w:hint="eastAsia"/>
        </w:rPr>
        <w:t>)</w:t>
      </w:r>
      <w:r>
        <w:rPr>
          <w:rFonts w:hint="eastAsia"/>
        </w:rPr>
        <w:t>，</w:t>
      </w:r>
      <w:r w:rsidRPr="00C13272">
        <w:rPr>
          <w:rFonts w:hint="eastAsia"/>
        </w:rPr>
        <w:t>《和平集会自由准则》</w:t>
      </w:r>
      <w:r>
        <w:rPr>
          <w:rFonts w:hint="eastAsia"/>
        </w:rPr>
        <w:t>(</w:t>
      </w:r>
      <w:r w:rsidR="0022563B">
        <w:rPr>
          <w:rFonts w:hint="eastAsia"/>
        </w:rPr>
        <w:t>2</w:t>
      </w:r>
      <w:r>
        <w:rPr>
          <w:rFonts w:hint="eastAsia"/>
        </w:rPr>
        <w:t>0</w:t>
      </w:r>
      <w:r w:rsidR="0022563B">
        <w:rPr>
          <w:rFonts w:hint="eastAsia"/>
        </w:rPr>
        <w:t>1</w:t>
      </w:r>
      <w:r>
        <w:rPr>
          <w:rFonts w:hint="eastAsia"/>
        </w:rPr>
        <w:t>0</w:t>
      </w:r>
      <w:r>
        <w:rPr>
          <w:rFonts w:hint="eastAsia"/>
        </w:rPr>
        <w:t>年</w:t>
      </w:r>
      <w:r>
        <w:rPr>
          <w:rFonts w:hint="eastAsia"/>
        </w:rPr>
        <w:t>)</w:t>
      </w:r>
      <w:r>
        <w:rPr>
          <w:rFonts w:hint="eastAsia"/>
        </w:rPr>
        <w:t>，第</w:t>
      </w:r>
      <w:r w:rsidR="0022563B">
        <w:rPr>
          <w:rFonts w:hint="eastAsia"/>
        </w:rPr>
        <w:t>2</w:t>
      </w:r>
      <w:r>
        <w:rPr>
          <w:rFonts w:hint="eastAsia"/>
        </w:rPr>
        <w:t>.</w:t>
      </w:r>
      <w:r w:rsidR="0022563B">
        <w:rPr>
          <w:rFonts w:hint="eastAsia"/>
        </w:rPr>
        <w:t>5</w:t>
      </w:r>
      <w:r>
        <w:rPr>
          <w:rFonts w:hint="eastAsia"/>
        </w:rPr>
        <w:t>段。</w:t>
      </w:r>
    </w:p>
  </w:footnote>
  <w:footnote w:id="9">
    <w:p w:rsidR="004527D5" w:rsidRPr="009421A2" w:rsidRDefault="004527D5" w:rsidP="003C70F0">
      <w:pPr>
        <w:pStyle w:val="EndnoteText"/>
      </w:pPr>
      <w:r w:rsidRPr="00B51DC3">
        <w:tab/>
      </w:r>
      <w:r>
        <w:rPr>
          <w:rFonts w:hint="eastAsia"/>
        </w:rPr>
        <w:tab/>
      </w:r>
      <w:r w:rsidRPr="006A5AF9">
        <w:rPr>
          <w:rStyle w:val="FootnoteReference"/>
          <w:rFonts w:eastAsia="SimSun"/>
        </w:rPr>
        <w:footnoteRef/>
      </w:r>
      <w:r w:rsidRPr="00B51DC3">
        <w:tab/>
      </w:r>
      <w:r w:rsidRPr="00AD47D0">
        <w:rPr>
          <w:rFonts w:hint="eastAsia"/>
        </w:rPr>
        <w:t>见</w:t>
      </w:r>
      <w:r w:rsidR="0022563B">
        <w:rPr>
          <w:rFonts w:hint="eastAsia"/>
        </w:rPr>
        <w:t>A</w:t>
      </w:r>
      <w:r w:rsidRPr="00AD47D0">
        <w:rPr>
          <w:rFonts w:hint="eastAsia"/>
        </w:rPr>
        <w:t>/</w:t>
      </w:r>
      <w:r w:rsidR="0022563B">
        <w:rPr>
          <w:rFonts w:hint="eastAsia"/>
        </w:rPr>
        <w:t>HRC</w:t>
      </w:r>
      <w:r w:rsidRPr="00AD47D0">
        <w:rPr>
          <w:rFonts w:hint="eastAsia"/>
        </w:rPr>
        <w:t>/</w:t>
      </w:r>
      <w:r w:rsidR="0022563B">
        <w:rPr>
          <w:rFonts w:hint="eastAsia"/>
        </w:rPr>
        <w:t>23</w:t>
      </w:r>
      <w:r w:rsidRPr="00AD47D0">
        <w:rPr>
          <w:rFonts w:hint="eastAsia"/>
        </w:rPr>
        <w:t>/</w:t>
      </w:r>
      <w:r w:rsidR="0022563B">
        <w:rPr>
          <w:rFonts w:hint="eastAsia"/>
        </w:rPr>
        <w:t>39</w:t>
      </w:r>
      <w:r w:rsidRPr="00AD47D0">
        <w:rPr>
          <w:rFonts w:hint="eastAsia"/>
        </w:rPr>
        <w:t>第</w:t>
      </w:r>
      <w:r w:rsidR="0022563B">
        <w:rPr>
          <w:rFonts w:hint="eastAsia"/>
        </w:rPr>
        <w:t>5</w:t>
      </w:r>
      <w:r w:rsidRPr="00AD47D0">
        <w:rPr>
          <w:rFonts w:hint="eastAsia"/>
        </w:rPr>
        <w:t>0</w:t>
      </w:r>
      <w:r w:rsidRPr="00AD47D0">
        <w:rPr>
          <w:rFonts w:hint="eastAsia"/>
        </w:rPr>
        <w:t>段</w:t>
      </w:r>
      <w:r>
        <w:rPr>
          <w:rFonts w:hint="eastAsia"/>
        </w:rPr>
        <w:t>，以及</w:t>
      </w:r>
      <w:r w:rsidRPr="00C13272">
        <w:rPr>
          <w:rFonts w:hint="eastAsia"/>
        </w:rPr>
        <w:t>欧安组织，《准则》第</w:t>
      </w:r>
      <w:r w:rsidR="0022563B">
        <w:rPr>
          <w:rFonts w:hint="eastAsia"/>
        </w:rPr>
        <w:t>3</w:t>
      </w:r>
      <w:r>
        <w:rPr>
          <w:rFonts w:hint="eastAsia"/>
        </w:rPr>
        <w:t>0</w:t>
      </w:r>
      <w:r w:rsidRPr="00C13272">
        <w:rPr>
          <w:rFonts w:hint="eastAsia"/>
        </w:rPr>
        <w:t>段。</w:t>
      </w:r>
    </w:p>
  </w:footnote>
  <w:footnote w:id="10">
    <w:p w:rsidR="004527D5" w:rsidRPr="009421A2" w:rsidRDefault="004527D5" w:rsidP="003C70F0">
      <w:pPr>
        <w:pStyle w:val="EndnoteText"/>
      </w:pPr>
      <w:r w:rsidRPr="00B51DC3">
        <w:tab/>
      </w:r>
      <w:r>
        <w:rPr>
          <w:rFonts w:hint="eastAsia"/>
        </w:rPr>
        <w:tab/>
      </w:r>
      <w:r w:rsidRPr="006A5AF9">
        <w:rPr>
          <w:rStyle w:val="FootnoteReference"/>
          <w:rFonts w:eastAsia="SimSun"/>
        </w:rPr>
        <w:footnoteRef/>
      </w:r>
      <w:r w:rsidRPr="00B51DC3">
        <w:tab/>
      </w:r>
      <w:r w:rsidRPr="00350752">
        <w:rPr>
          <w:rFonts w:hint="eastAsia"/>
        </w:rPr>
        <w:t>见</w:t>
      </w:r>
      <w:r w:rsidR="0022563B">
        <w:rPr>
          <w:rFonts w:hint="eastAsia"/>
        </w:rPr>
        <w:t>A</w:t>
      </w:r>
      <w:r w:rsidRPr="00350752">
        <w:rPr>
          <w:rFonts w:hint="eastAsia"/>
        </w:rPr>
        <w:t>/</w:t>
      </w:r>
      <w:r w:rsidR="0022563B">
        <w:rPr>
          <w:rFonts w:hint="eastAsia"/>
        </w:rPr>
        <w:t>HRC</w:t>
      </w:r>
      <w:r w:rsidRPr="00350752">
        <w:rPr>
          <w:rFonts w:hint="eastAsia"/>
        </w:rPr>
        <w:t>/</w:t>
      </w:r>
      <w:r w:rsidR="0022563B">
        <w:rPr>
          <w:rFonts w:hint="eastAsia"/>
        </w:rPr>
        <w:t>2</w:t>
      </w:r>
      <w:r w:rsidRPr="00350752">
        <w:rPr>
          <w:rFonts w:hint="eastAsia"/>
        </w:rPr>
        <w:t>0/</w:t>
      </w:r>
      <w:r w:rsidR="0022563B">
        <w:rPr>
          <w:rFonts w:hint="eastAsia"/>
        </w:rPr>
        <w:t>27</w:t>
      </w:r>
      <w:r w:rsidRPr="00350752">
        <w:rPr>
          <w:rFonts w:hint="eastAsia"/>
        </w:rPr>
        <w:t>第</w:t>
      </w:r>
      <w:r w:rsidR="0022563B">
        <w:rPr>
          <w:rFonts w:hint="eastAsia"/>
        </w:rPr>
        <w:t>26</w:t>
      </w:r>
      <w:r w:rsidRPr="00350752">
        <w:rPr>
          <w:rFonts w:hint="eastAsia"/>
        </w:rPr>
        <w:t>段</w:t>
      </w:r>
      <w:r>
        <w:rPr>
          <w:rFonts w:hint="eastAsia"/>
        </w:rPr>
        <w:t>和</w:t>
      </w:r>
      <w:r w:rsidR="0022563B">
        <w:rPr>
          <w:rFonts w:hint="eastAsia"/>
        </w:rPr>
        <w:t>A</w:t>
      </w:r>
      <w:r w:rsidRPr="00350752">
        <w:rPr>
          <w:rFonts w:hint="eastAsia"/>
        </w:rPr>
        <w:t>/</w:t>
      </w:r>
      <w:r w:rsidR="0022563B">
        <w:rPr>
          <w:rFonts w:hint="eastAsia"/>
        </w:rPr>
        <w:t>HRC</w:t>
      </w:r>
      <w:r w:rsidRPr="00350752">
        <w:rPr>
          <w:rFonts w:hint="eastAsia"/>
        </w:rPr>
        <w:t>/</w:t>
      </w:r>
      <w:r w:rsidR="0022563B">
        <w:rPr>
          <w:rFonts w:hint="eastAsia"/>
        </w:rPr>
        <w:t>23</w:t>
      </w:r>
      <w:r w:rsidRPr="00350752">
        <w:rPr>
          <w:rFonts w:hint="eastAsia"/>
        </w:rPr>
        <w:t>/</w:t>
      </w:r>
      <w:r w:rsidR="0022563B">
        <w:rPr>
          <w:rFonts w:hint="eastAsia"/>
        </w:rPr>
        <w:t>39</w:t>
      </w:r>
      <w:r w:rsidRPr="00350752">
        <w:rPr>
          <w:rFonts w:hint="eastAsia"/>
        </w:rPr>
        <w:t>第</w:t>
      </w:r>
      <w:r w:rsidR="0022563B">
        <w:rPr>
          <w:rFonts w:hint="eastAsia"/>
        </w:rPr>
        <w:t>5</w:t>
      </w:r>
      <w:r w:rsidRPr="00350752">
        <w:rPr>
          <w:rFonts w:hint="eastAsia"/>
        </w:rPr>
        <w:t>0</w:t>
      </w:r>
      <w:r w:rsidRPr="00350752">
        <w:rPr>
          <w:rFonts w:hint="eastAsia"/>
        </w:rPr>
        <w:t>段。</w:t>
      </w:r>
    </w:p>
  </w:footnote>
  <w:footnote w:id="11">
    <w:p w:rsidR="004527D5" w:rsidRPr="009421A2" w:rsidRDefault="004527D5" w:rsidP="003C70F0">
      <w:pPr>
        <w:pStyle w:val="EndnoteText"/>
      </w:pPr>
      <w:r w:rsidRPr="00B51DC3">
        <w:tab/>
      </w:r>
      <w:r>
        <w:rPr>
          <w:rFonts w:hint="eastAsia"/>
        </w:rPr>
        <w:tab/>
      </w:r>
      <w:r w:rsidRPr="006A5AF9">
        <w:rPr>
          <w:rStyle w:val="FootnoteReference"/>
          <w:rFonts w:eastAsia="SimSun"/>
        </w:rPr>
        <w:footnoteRef/>
      </w:r>
      <w:r w:rsidRPr="00B51DC3">
        <w:tab/>
      </w:r>
      <w:r w:rsidR="0022563B">
        <w:t>Manfred</w:t>
      </w:r>
      <w:r w:rsidRPr="00F016C5">
        <w:t xml:space="preserve"> </w:t>
      </w:r>
      <w:r w:rsidR="0022563B">
        <w:t>Nowak</w:t>
      </w:r>
      <w:r>
        <w:t xml:space="preserve">, </w:t>
      </w:r>
      <w:r w:rsidR="0022563B">
        <w:rPr>
          <w:i/>
        </w:rPr>
        <w:t>UN</w:t>
      </w:r>
      <w:r w:rsidRPr="00D71FE9">
        <w:rPr>
          <w:i/>
        </w:rPr>
        <w:t xml:space="preserve"> </w:t>
      </w:r>
      <w:r w:rsidR="0022563B">
        <w:rPr>
          <w:i/>
        </w:rPr>
        <w:t>Covenant</w:t>
      </w:r>
      <w:r w:rsidRPr="00D71FE9">
        <w:rPr>
          <w:i/>
        </w:rPr>
        <w:t xml:space="preserve"> </w:t>
      </w:r>
      <w:r w:rsidR="0022563B">
        <w:rPr>
          <w:i/>
        </w:rPr>
        <w:t>on</w:t>
      </w:r>
      <w:r w:rsidRPr="00D71FE9">
        <w:rPr>
          <w:i/>
        </w:rPr>
        <w:t xml:space="preserve"> </w:t>
      </w:r>
      <w:r w:rsidR="0022563B">
        <w:rPr>
          <w:i/>
        </w:rPr>
        <w:t>Civil</w:t>
      </w:r>
      <w:r w:rsidRPr="00D71FE9">
        <w:rPr>
          <w:i/>
        </w:rPr>
        <w:t xml:space="preserve"> </w:t>
      </w:r>
      <w:r w:rsidR="0022563B">
        <w:rPr>
          <w:i/>
        </w:rPr>
        <w:t>and</w:t>
      </w:r>
      <w:r w:rsidRPr="00D71FE9">
        <w:rPr>
          <w:i/>
        </w:rPr>
        <w:t xml:space="preserve"> </w:t>
      </w:r>
      <w:r w:rsidR="0022563B">
        <w:rPr>
          <w:i/>
        </w:rPr>
        <w:t>Political</w:t>
      </w:r>
      <w:r w:rsidRPr="00D71FE9">
        <w:rPr>
          <w:i/>
        </w:rPr>
        <w:t xml:space="preserve"> </w:t>
      </w:r>
      <w:proofErr w:type="spellStart"/>
      <w:r w:rsidR="0022563B">
        <w:rPr>
          <w:i/>
        </w:rPr>
        <w:t>Rights:CCPR</w:t>
      </w:r>
      <w:proofErr w:type="spellEnd"/>
      <w:r w:rsidRPr="00F016C5">
        <w:rPr>
          <w:i/>
        </w:rPr>
        <w:t xml:space="preserve"> </w:t>
      </w:r>
      <w:r w:rsidR="0022563B">
        <w:rPr>
          <w:i/>
        </w:rPr>
        <w:t>Commentary</w:t>
      </w:r>
      <w:r w:rsidRPr="00D71FE9">
        <w:t xml:space="preserve"> </w:t>
      </w:r>
      <w:r w:rsidRPr="00F016C5">
        <w:t>(</w:t>
      </w:r>
      <w:proofErr w:type="spellStart"/>
      <w:r w:rsidR="0022563B">
        <w:t>Kehl</w:t>
      </w:r>
      <w:proofErr w:type="spellEnd"/>
      <w:r w:rsidRPr="00F016C5">
        <w:t xml:space="preserve"> </w:t>
      </w:r>
      <w:r w:rsidR="0022563B">
        <w:t>am</w:t>
      </w:r>
      <w:r w:rsidRPr="00F016C5">
        <w:t xml:space="preserve"> </w:t>
      </w:r>
      <w:proofErr w:type="spellStart"/>
      <w:r w:rsidR="0022563B">
        <w:t>Rhein</w:t>
      </w:r>
      <w:proofErr w:type="spellEnd"/>
      <w:r>
        <w:t xml:space="preserve">, </w:t>
      </w:r>
      <w:r w:rsidR="0022563B">
        <w:t>Engel</w:t>
      </w:r>
      <w:r>
        <w:t xml:space="preserve">, </w:t>
      </w:r>
      <w:r w:rsidR="0022563B">
        <w:t>2</w:t>
      </w:r>
      <w:r w:rsidRPr="00F016C5">
        <w:t>00</w:t>
      </w:r>
      <w:r w:rsidR="0022563B">
        <w:t>5</w:t>
      </w:r>
      <w:r w:rsidRPr="00F016C5">
        <w:t>)</w:t>
      </w:r>
      <w:r>
        <w:t>，</w:t>
      </w:r>
      <w:r w:rsidR="0022563B">
        <w:t>p</w:t>
      </w:r>
      <w:r w:rsidRPr="00F016C5">
        <w:t xml:space="preserve">. </w:t>
      </w:r>
      <w:r w:rsidR="0022563B">
        <w:t>487</w:t>
      </w:r>
      <w:r w:rsidRPr="00F016C5">
        <w:t>.</w:t>
      </w:r>
    </w:p>
  </w:footnote>
  <w:footnote w:id="12">
    <w:p w:rsidR="004527D5" w:rsidRPr="009421A2" w:rsidRDefault="004527D5" w:rsidP="003C70F0">
      <w:pPr>
        <w:pStyle w:val="EndnoteText"/>
      </w:pPr>
      <w:r w:rsidRPr="00B51DC3">
        <w:tab/>
      </w:r>
      <w:r>
        <w:rPr>
          <w:rFonts w:hint="eastAsia"/>
        </w:rPr>
        <w:tab/>
      </w:r>
      <w:r w:rsidRPr="006A5AF9">
        <w:rPr>
          <w:rStyle w:val="FootnoteReference"/>
          <w:rFonts w:eastAsia="SimSun"/>
        </w:rPr>
        <w:footnoteRef/>
      </w:r>
      <w:r w:rsidRPr="00A9300A">
        <w:tab/>
      </w:r>
      <w:r w:rsidRPr="00D763B9">
        <w:rPr>
          <w:rFonts w:hint="eastAsia"/>
        </w:rPr>
        <w:t>欧洲人权法院，</w:t>
      </w:r>
      <w:r w:rsidR="0022563B">
        <w:rPr>
          <w:rFonts w:hint="eastAsia"/>
        </w:rPr>
        <w:t>“</w:t>
      </w:r>
      <w:proofErr w:type="spellStart"/>
      <w:r w:rsidR="0022563B">
        <w:rPr>
          <w:rFonts w:hint="eastAsia"/>
        </w:rPr>
        <w:t>Ziliberberg</w:t>
      </w:r>
      <w:proofErr w:type="spellEnd"/>
      <w:r w:rsidRPr="00D763B9">
        <w:rPr>
          <w:rFonts w:hint="eastAsia"/>
        </w:rPr>
        <w:t>诉摩尔多瓦</w:t>
      </w:r>
      <w:r w:rsidR="0022563B">
        <w:rPr>
          <w:rFonts w:hint="eastAsia"/>
        </w:rPr>
        <w:t>”</w:t>
      </w:r>
      <w:r w:rsidRPr="00D763B9">
        <w:rPr>
          <w:rFonts w:hint="eastAsia"/>
        </w:rPr>
        <w:t>，第</w:t>
      </w:r>
      <w:r w:rsidR="0022563B">
        <w:rPr>
          <w:rFonts w:hint="eastAsia"/>
        </w:rPr>
        <w:t>61821</w:t>
      </w:r>
      <w:r w:rsidRPr="00D763B9">
        <w:rPr>
          <w:rFonts w:hint="eastAsia"/>
        </w:rPr>
        <w:t>/00</w:t>
      </w:r>
      <w:r w:rsidRPr="00D763B9">
        <w:rPr>
          <w:rFonts w:hint="eastAsia"/>
        </w:rPr>
        <w:t>号申诉，</w:t>
      </w:r>
      <w:r w:rsidR="0022563B">
        <w:rPr>
          <w:rFonts w:hint="eastAsia"/>
        </w:rPr>
        <w:t>2</w:t>
      </w:r>
      <w:r w:rsidRPr="00D763B9">
        <w:rPr>
          <w:rFonts w:hint="eastAsia"/>
        </w:rPr>
        <w:t>00</w:t>
      </w:r>
      <w:r w:rsidR="0022563B">
        <w:rPr>
          <w:rFonts w:hint="eastAsia"/>
        </w:rPr>
        <w:t>4</w:t>
      </w:r>
      <w:r w:rsidRPr="00D763B9">
        <w:rPr>
          <w:rFonts w:hint="eastAsia"/>
        </w:rPr>
        <w:t>年</w:t>
      </w:r>
      <w:r w:rsidR="0022563B">
        <w:rPr>
          <w:rFonts w:hint="eastAsia"/>
        </w:rPr>
        <w:t>5</w:t>
      </w:r>
      <w:r w:rsidRPr="00D763B9">
        <w:rPr>
          <w:rFonts w:hint="eastAsia"/>
        </w:rPr>
        <w:t>月</w:t>
      </w:r>
      <w:r w:rsidR="0022563B">
        <w:rPr>
          <w:rFonts w:hint="eastAsia"/>
        </w:rPr>
        <w:t>4</w:t>
      </w:r>
      <w:r w:rsidRPr="00D763B9">
        <w:rPr>
          <w:rFonts w:hint="eastAsia"/>
        </w:rPr>
        <w:t>日。</w:t>
      </w:r>
    </w:p>
  </w:footnote>
  <w:footnote w:id="13">
    <w:p w:rsidR="004527D5" w:rsidRPr="009421A2" w:rsidRDefault="004527D5" w:rsidP="004527D5">
      <w:pPr>
        <w:pStyle w:val="EndnoteText"/>
        <w:tabs>
          <w:tab w:val="left" w:pos="1120"/>
        </w:tabs>
      </w:pPr>
      <w:r w:rsidRPr="00B51DC3">
        <w:tab/>
      </w:r>
      <w:r>
        <w:rPr>
          <w:rFonts w:hint="eastAsia"/>
        </w:rPr>
        <w:tab/>
      </w:r>
      <w:r w:rsidRPr="006A5AF9">
        <w:rPr>
          <w:rStyle w:val="FootnoteReference"/>
          <w:rFonts w:eastAsia="SimSun"/>
        </w:rPr>
        <w:footnoteRef/>
      </w:r>
      <w:r w:rsidRPr="00A9300A">
        <w:tab/>
      </w:r>
      <w:r>
        <w:rPr>
          <w:rFonts w:hint="eastAsia"/>
        </w:rPr>
        <w:tab/>
      </w:r>
      <w:r>
        <w:rPr>
          <w:rFonts w:hint="eastAsia"/>
        </w:rPr>
        <w:t>见</w:t>
      </w:r>
      <w:r w:rsidR="0022563B">
        <w:t>A</w:t>
      </w:r>
      <w:r w:rsidRPr="009421A2">
        <w:t>/</w:t>
      </w:r>
      <w:r w:rsidR="0022563B">
        <w:t>HRC</w:t>
      </w:r>
      <w:r w:rsidRPr="009421A2">
        <w:t>/</w:t>
      </w:r>
      <w:r w:rsidR="0022563B">
        <w:t>2</w:t>
      </w:r>
      <w:r w:rsidRPr="009421A2">
        <w:t>0/</w:t>
      </w:r>
      <w:r w:rsidR="0022563B">
        <w:t>27</w:t>
      </w:r>
      <w:r>
        <w:t xml:space="preserve">, </w:t>
      </w:r>
      <w:r>
        <w:t>第</w:t>
      </w:r>
      <w:r w:rsidR="0022563B">
        <w:t>28</w:t>
      </w:r>
      <w:r>
        <w:t>段</w:t>
      </w:r>
      <w:r>
        <w:rPr>
          <w:rFonts w:hint="eastAsia"/>
        </w:rPr>
        <w:t>，以及</w:t>
      </w:r>
      <w:r w:rsidRPr="001C7C93">
        <w:rPr>
          <w:rFonts w:hint="eastAsia"/>
        </w:rPr>
        <w:t>美洲人权委员会，</w:t>
      </w:r>
      <w:r>
        <w:rPr>
          <w:rFonts w:hint="eastAsia"/>
        </w:rPr>
        <w:t>《关于美洲人权维护</w:t>
      </w:r>
      <w:r w:rsidRPr="001C7C93">
        <w:rPr>
          <w:rFonts w:hint="eastAsia"/>
        </w:rPr>
        <w:t>者状况的第二份报告</w:t>
      </w:r>
      <w:r>
        <w:rPr>
          <w:rFonts w:hint="eastAsia"/>
        </w:rPr>
        <w:t>》</w:t>
      </w:r>
      <w:r w:rsidRPr="009421A2">
        <w:t>(</w:t>
      </w:r>
      <w:r w:rsidR="0022563B">
        <w:t>2</w:t>
      </w:r>
      <w:r w:rsidRPr="009421A2">
        <w:t>0</w:t>
      </w:r>
      <w:r w:rsidR="0022563B">
        <w:t>11</w:t>
      </w:r>
      <w:r>
        <w:t>年</w:t>
      </w:r>
      <w:r w:rsidRPr="009421A2">
        <w:t>)</w:t>
      </w:r>
      <w:r>
        <w:t>，第</w:t>
      </w:r>
      <w:r w:rsidR="0022563B">
        <w:t>137</w:t>
      </w:r>
      <w:r>
        <w:t>段</w:t>
      </w:r>
      <w:r>
        <w:rPr>
          <w:rFonts w:hint="eastAsia"/>
        </w:rPr>
        <w:t>。</w:t>
      </w:r>
    </w:p>
  </w:footnote>
  <w:footnote w:id="14">
    <w:p w:rsidR="004527D5" w:rsidRPr="002F27BC" w:rsidRDefault="004527D5" w:rsidP="003C70F0">
      <w:pPr>
        <w:pStyle w:val="EndnoteText"/>
      </w:pPr>
      <w:r w:rsidRPr="00B51DC3">
        <w:tab/>
      </w:r>
      <w:r>
        <w:rPr>
          <w:rFonts w:hint="eastAsia"/>
        </w:rPr>
        <w:tab/>
      </w:r>
      <w:r w:rsidRPr="006A5AF9">
        <w:rPr>
          <w:rStyle w:val="FootnoteReference"/>
          <w:rFonts w:eastAsia="SimSun"/>
        </w:rPr>
        <w:footnoteRef/>
      </w:r>
      <w:r w:rsidRPr="00B51DC3">
        <w:tab/>
      </w:r>
      <w:r w:rsidRPr="00D763B9">
        <w:rPr>
          <w:rFonts w:hint="eastAsia"/>
        </w:rPr>
        <w:t>欧洲人权法院，</w:t>
      </w:r>
      <w:r w:rsidR="0022563B">
        <w:rPr>
          <w:rFonts w:hint="eastAsia"/>
        </w:rPr>
        <w:t>“</w:t>
      </w:r>
      <w:proofErr w:type="spellStart"/>
      <w:r w:rsidR="0022563B">
        <w:rPr>
          <w:rFonts w:hint="eastAsia"/>
        </w:rPr>
        <w:t>Bukta</w:t>
      </w:r>
      <w:proofErr w:type="spellEnd"/>
      <w:r w:rsidRPr="00D763B9">
        <w:rPr>
          <w:rFonts w:hint="eastAsia"/>
        </w:rPr>
        <w:t>诉匈牙利</w:t>
      </w:r>
      <w:r w:rsidR="0022563B">
        <w:rPr>
          <w:rFonts w:hint="eastAsia"/>
        </w:rPr>
        <w:t>”</w:t>
      </w:r>
      <w:r w:rsidRPr="00D763B9">
        <w:rPr>
          <w:rFonts w:hint="eastAsia"/>
        </w:rPr>
        <w:t>，第</w:t>
      </w:r>
      <w:r w:rsidR="0022563B">
        <w:rPr>
          <w:rFonts w:hint="eastAsia"/>
        </w:rPr>
        <w:t>25691</w:t>
      </w:r>
      <w:r w:rsidRPr="00D763B9">
        <w:rPr>
          <w:rFonts w:hint="eastAsia"/>
        </w:rPr>
        <w:t>/0</w:t>
      </w:r>
      <w:r w:rsidR="0022563B">
        <w:rPr>
          <w:rFonts w:hint="eastAsia"/>
        </w:rPr>
        <w:t>4</w:t>
      </w:r>
      <w:r w:rsidRPr="00D763B9">
        <w:rPr>
          <w:rFonts w:hint="eastAsia"/>
        </w:rPr>
        <w:t>号申诉，</w:t>
      </w:r>
      <w:r w:rsidR="0022563B">
        <w:rPr>
          <w:rFonts w:hint="eastAsia"/>
        </w:rPr>
        <w:t>2</w:t>
      </w:r>
      <w:r w:rsidRPr="00D763B9">
        <w:rPr>
          <w:rFonts w:hint="eastAsia"/>
        </w:rPr>
        <w:t>00</w:t>
      </w:r>
      <w:r w:rsidR="0022563B">
        <w:rPr>
          <w:rFonts w:hint="eastAsia"/>
        </w:rPr>
        <w:t>7</w:t>
      </w:r>
      <w:r w:rsidRPr="00D763B9">
        <w:rPr>
          <w:rFonts w:hint="eastAsia"/>
        </w:rPr>
        <w:t>年</w:t>
      </w:r>
      <w:r w:rsidR="0022563B">
        <w:rPr>
          <w:rFonts w:hint="eastAsia"/>
        </w:rPr>
        <w:t>7</w:t>
      </w:r>
      <w:r w:rsidRPr="00D763B9">
        <w:rPr>
          <w:rFonts w:hint="eastAsia"/>
        </w:rPr>
        <w:t>月</w:t>
      </w:r>
      <w:r w:rsidR="0022563B">
        <w:rPr>
          <w:rFonts w:hint="eastAsia"/>
        </w:rPr>
        <w:t>17</w:t>
      </w:r>
      <w:r w:rsidRPr="00D763B9">
        <w:rPr>
          <w:rFonts w:hint="eastAsia"/>
        </w:rPr>
        <w:t>日。</w:t>
      </w:r>
    </w:p>
  </w:footnote>
  <w:footnote w:id="15">
    <w:p w:rsidR="004527D5" w:rsidRPr="003B6E2D" w:rsidRDefault="004527D5" w:rsidP="003C70F0">
      <w:pPr>
        <w:pStyle w:val="EndnoteText"/>
      </w:pPr>
      <w:r w:rsidRPr="00B51DC3">
        <w:tab/>
      </w:r>
      <w:r>
        <w:rPr>
          <w:rFonts w:hint="eastAsia"/>
        </w:rPr>
        <w:tab/>
      </w:r>
      <w:r w:rsidRPr="006A5AF9">
        <w:rPr>
          <w:rStyle w:val="FootnoteReference"/>
          <w:rFonts w:eastAsia="SimSun"/>
        </w:rPr>
        <w:footnoteRef/>
      </w:r>
      <w:r w:rsidRPr="00B51DC3">
        <w:tab/>
      </w:r>
      <w:r>
        <w:rPr>
          <w:rFonts w:hint="eastAsia"/>
        </w:rPr>
        <w:t>然而，如果组织反示威活动的意图是妨碍</w:t>
      </w:r>
      <w:r w:rsidRPr="00350752">
        <w:rPr>
          <w:rFonts w:hint="eastAsia"/>
        </w:rPr>
        <w:t>他人</w:t>
      </w:r>
      <w:r>
        <w:rPr>
          <w:rFonts w:hint="eastAsia"/>
        </w:rPr>
        <w:t>的合法集会权，反示威活动将属于《公民权利和政治权利国际公约》第五条的范围，对和平集会自由权</w:t>
      </w:r>
      <w:r w:rsidRPr="00350752">
        <w:rPr>
          <w:rFonts w:hint="eastAsia"/>
        </w:rPr>
        <w:t>提供的保护将不适用。</w:t>
      </w:r>
    </w:p>
  </w:footnote>
  <w:footnote w:id="16">
    <w:p w:rsidR="004527D5" w:rsidRPr="009421A2" w:rsidRDefault="004527D5" w:rsidP="003C70F0">
      <w:pPr>
        <w:pStyle w:val="EndnoteText"/>
      </w:pPr>
      <w:r w:rsidRPr="00B51DC3">
        <w:tab/>
      </w:r>
      <w:r>
        <w:rPr>
          <w:rFonts w:hint="eastAsia"/>
        </w:rPr>
        <w:tab/>
      </w:r>
      <w:r w:rsidRPr="006A5AF9">
        <w:rPr>
          <w:rStyle w:val="FootnoteReference"/>
          <w:rFonts w:eastAsia="SimSun"/>
        </w:rPr>
        <w:footnoteRef/>
      </w:r>
      <w:r w:rsidRPr="00B51DC3">
        <w:tab/>
      </w:r>
      <w:r w:rsidRPr="00D763B9">
        <w:rPr>
          <w:rFonts w:hint="eastAsia"/>
        </w:rPr>
        <w:t>见欧洲人权法院，</w:t>
      </w:r>
      <w:r w:rsidR="0022563B">
        <w:rPr>
          <w:rFonts w:hint="eastAsia"/>
        </w:rPr>
        <w:t>“</w:t>
      </w:r>
      <w:proofErr w:type="spellStart"/>
      <w:r w:rsidR="0022563B">
        <w:rPr>
          <w:rFonts w:hint="eastAsia"/>
        </w:rPr>
        <w:t>Ozgur</w:t>
      </w:r>
      <w:proofErr w:type="spellEnd"/>
      <w:r w:rsidRPr="00D763B9">
        <w:rPr>
          <w:rFonts w:hint="eastAsia"/>
        </w:rPr>
        <w:t xml:space="preserve"> </w:t>
      </w:r>
      <w:proofErr w:type="spellStart"/>
      <w:r w:rsidR="0022563B">
        <w:rPr>
          <w:rFonts w:hint="eastAsia"/>
        </w:rPr>
        <w:t>Gundem</w:t>
      </w:r>
      <w:proofErr w:type="spellEnd"/>
      <w:r w:rsidRPr="00D763B9">
        <w:rPr>
          <w:rFonts w:hint="eastAsia"/>
        </w:rPr>
        <w:t>诉土耳其</w:t>
      </w:r>
      <w:r w:rsidR="0022563B">
        <w:rPr>
          <w:rFonts w:hint="eastAsia"/>
        </w:rPr>
        <w:t>”</w:t>
      </w:r>
      <w:r w:rsidRPr="00D763B9">
        <w:rPr>
          <w:rFonts w:hint="eastAsia"/>
        </w:rPr>
        <w:t>，第</w:t>
      </w:r>
      <w:r w:rsidR="0022563B">
        <w:rPr>
          <w:rFonts w:hint="eastAsia"/>
        </w:rPr>
        <w:t>23144</w:t>
      </w:r>
      <w:r w:rsidRPr="00D763B9">
        <w:rPr>
          <w:rFonts w:hint="eastAsia"/>
        </w:rPr>
        <w:t>/</w:t>
      </w:r>
      <w:r w:rsidR="0022563B">
        <w:rPr>
          <w:rFonts w:hint="eastAsia"/>
        </w:rPr>
        <w:t>93</w:t>
      </w:r>
      <w:r w:rsidRPr="00D763B9">
        <w:rPr>
          <w:rFonts w:hint="eastAsia"/>
        </w:rPr>
        <w:t>号申诉，</w:t>
      </w:r>
      <w:r w:rsidR="0022563B">
        <w:rPr>
          <w:rFonts w:hint="eastAsia"/>
        </w:rPr>
        <w:t>2</w:t>
      </w:r>
      <w:r w:rsidRPr="00D763B9">
        <w:rPr>
          <w:rFonts w:hint="eastAsia"/>
        </w:rPr>
        <w:t>000</w:t>
      </w:r>
      <w:r w:rsidRPr="00D763B9">
        <w:rPr>
          <w:rFonts w:hint="eastAsia"/>
        </w:rPr>
        <w:t>年</w:t>
      </w:r>
      <w:r w:rsidR="0022563B">
        <w:rPr>
          <w:rFonts w:hint="eastAsia"/>
        </w:rPr>
        <w:t>3</w:t>
      </w:r>
      <w:r w:rsidRPr="00D763B9">
        <w:rPr>
          <w:rFonts w:hint="eastAsia"/>
        </w:rPr>
        <w:t>月</w:t>
      </w:r>
      <w:r w:rsidR="0022563B">
        <w:rPr>
          <w:rFonts w:hint="eastAsia"/>
        </w:rPr>
        <w:t>16</w:t>
      </w:r>
      <w:r w:rsidRPr="00D763B9">
        <w:rPr>
          <w:rFonts w:hint="eastAsia"/>
        </w:rPr>
        <w:t>日，第</w:t>
      </w:r>
      <w:r w:rsidR="0022563B">
        <w:rPr>
          <w:rFonts w:hint="eastAsia"/>
        </w:rPr>
        <w:t>42</w:t>
      </w:r>
      <w:r w:rsidRPr="00D763B9">
        <w:rPr>
          <w:rFonts w:hint="eastAsia"/>
        </w:rPr>
        <w:t>-</w:t>
      </w:r>
      <w:r w:rsidR="0022563B">
        <w:rPr>
          <w:rFonts w:hint="eastAsia"/>
        </w:rPr>
        <w:t>43</w:t>
      </w:r>
      <w:r w:rsidRPr="00D763B9">
        <w:rPr>
          <w:rFonts w:hint="eastAsia"/>
        </w:rPr>
        <w:t>段。</w:t>
      </w:r>
    </w:p>
  </w:footnote>
  <w:footnote w:id="17">
    <w:p w:rsidR="004527D5" w:rsidRPr="009421A2" w:rsidRDefault="004527D5" w:rsidP="003C70F0">
      <w:pPr>
        <w:pStyle w:val="EndnoteText"/>
      </w:pPr>
      <w:r w:rsidRPr="00B51DC3">
        <w:tab/>
      </w:r>
      <w:r>
        <w:rPr>
          <w:rFonts w:hint="eastAsia"/>
        </w:rPr>
        <w:tab/>
      </w:r>
      <w:r w:rsidRPr="006A5AF9">
        <w:rPr>
          <w:rStyle w:val="FootnoteReference"/>
          <w:rFonts w:eastAsia="SimSun"/>
        </w:rPr>
        <w:footnoteRef/>
      </w:r>
      <w:r w:rsidRPr="00B51DC3">
        <w:tab/>
      </w:r>
      <w:r w:rsidRPr="00D763B9">
        <w:rPr>
          <w:rFonts w:hint="eastAsia"/>
        </w:rPr>
        <w:t>见欧洲人权法院，</w:t>
      </w:r>
      <w:r w:rsidR="0022563B">
        <w:rPr>
          <w:rFonts w:hint="eastAsia"/>
        </w:rPr>
        <w:t>“</w:t>
      </w:r>
      <w:proofErr w:type="spellStart"/>
      <w:r w:rsidR="0022563B">
        <w:rPr>
          <w:rFonts w:hint="eastAsia"/>
        </w:rPr>
        <w:t>Alekseyev</w:t>
      </w:r>
      <w:proofErr w:type="spellEnd"/>
      <w:r w:rsidRPr="00D763B9">
        <w:rPr>
          <w:rFonts w:hint="eastAsia"/>
        </w:rPr>
        <w:t>诉俄罗斯</w:t>
      </w:r>
      <w:r w:rsidR="0022563B">
        <w:rPr>
          <w:rFonts w:hint="eastAsia"/>
        </w:rPr>
        <w:t>”</w:t>
      </w:r>
      <w:r w:rsidRPr="00D763B9">
        <w:rPr>
          <w:rFonts w:hint="eastAsia"/>
        </w:rPr>
        <w:t>，第</w:t>
      </w:r>
      <w:r w:rsidR="0022563B">
        <w:rPr>
          <w:rFonts w:hint="eastAsia"/>
        </w:rPr>
        <w:t>4916</w:t>
      </w:r>
      <w:r w:rsidR="007330FC">
        <w:rPr>
          <w:rFonts w:hint="eastAsia"/>
        </w:rPr>
        <w:t>/0</w:t>
      </w:r>
      <w:r w:rsidR="0022563B">
        <w:rPr>
          <w:rFonts w:hint="eastAsia"/>
        </w:rPr>
        <w:t>7</w:t>
      </w:r>
      <w:r w:rsidRPr="00D763B9">
        <w:rPr>
          <w:rFonts w:hint="eastAsia"/>
        </w:rPr>
        <w:t>、</w:t>
      </w:r>
      <w:r w:rsidR="0022563B">
        <w:rPr>
          <w:rFonts w:hint="eastAsia"/>
        </w:rPr>
        <w:t>25924</w:t>
      </w:r>
      <w:r w:rsidRPr="00D763B9">
        <w:rPr>
          <w:rFonts w:hint="eastAsia"/>
        </w:rPr>
        <w:t>/0</w:t>
      </w:r>
      <w:r w:rsidR="0022563B">
        <w:rPr>
          <w:rFonts w:hint="eastAsia"/>
        </w:rPr>
        <w:t>8</w:t>
      </w:r>
      <w:r w:rsidRPr="00D763B9">
        <w:rPr>
          <w:rFonts w:hint="eastAsia"/>
        </w:rPr>
        <w:t>和</w:t>
      </w:r>
      <w:r w:rsidR="0022563B">
        <w:rPr>
          <w:rFonts w:hint="eastAsia"/>
        </w:rPr>
        <w:t>14599</w:t>
      </w:r>
      <w:r w:rsidRPr="00D763B9">
        <w:rPr>
          <w:rFonts w:hint="eastAsia"/>
        </w:rPr>
        <w:t>/0</w:t>
      </w:r>
      <w:r w:rsidR="0022563B">
        <w:rPr>
          <w:rFonts w:hint="eastAsia"/>
        </w:rPr>
        <w:t>9</w:t>
      </w:r>
      <w:r w:rsidRPr="00D763B9">
        <w:rPr>
          <w:rFonts w:hint="eastAsia"/>
        </w:rPr>
        <w:t>号申诉，</w:t>
      </w:r>
      <w:r w:rsidR="0022563B">
        <w:rPr>
          <w:rFonts w:hint="eastAsia"/>
        </w:rPr>
        <w:t>2</w:t>
      </w:r>
      <w:r w:rsidRPr="00D763B9">
        <w:rPr>
          <w:rFonts w:hint="eastAsia"/>
        </w:rPr>
        <w:t>0</w:t>
      </w:r>
      <w:r w:rsidR="0022563B">
        <w:rPr>
          <w:rFonts w:hint="eastAsia"/>
        </w:rPr>
        <w:t>1</w:t>
      </w:r>
      <w:r w:rsidRPr="00D763B9">
        <w:rPr>
          <w:rFonts w:hint="eastAsia"/>
        </w:rPr>
        <w:t>0</w:t>
      </w:r>
      <w:r w:rsidRPr="00D763B9">
        <w:rPr>
          <w:rFonts w:hint="eastAsia"/>
        </w:rPr>
        <w:t>年</w:t>
      </w:r>
      <w:r w:rsidR="0022563B">
        <w:rPr>
          <w:rFonts w:hint="eastAsia"/>
        </w:rPr>
        <w:t>1</w:t>
      </w:r>
      <w:r w:rsidRPr="00D763B9">
        <w:rPr>
          <w:rFonts w:hint="eastAsia"/>
        </w:rPr>
        <w:t>0</w:t>
      </w:r>
      <w:r w:rsidRPr="00D763B9">
        <w:rPr>
          <w:rFonts w:hint="eastAsia"/>
        </w:rPr>
        <w:t>月</w:t>
      </w:r>
      <w:r w:rsidR="0022563B">
        <w:rPr>
          <w:rFonts w:hint="eastAsia"/>
        </w:rPr>
        <w:t>21</w:t>
      </w:r>
      <w:r w:rsidRPr="00D763B9">
        <w:rPr>
          <w:rFonts w:hint="eastAsia"/>
        </w:rPr>
        <w:t>日，第</w:t>
      </w:r>
      <w:r w:rsidR="0022563B">
        <w:rPr>
          <w:rFonts w:hint="eastAsia"/>
        </w:rPr>
        <w:t>75</w:t>
      </w:r>
      <w:r w:rsidRPr="00D763B9">
        <w:rPr>
          <w:rFonts w:hint="eastAsia"/>
        </w:rPr>
        <w:t>段。</w:t>
      </w:r>
    </w:p>
  </w:footnote>
  <w:footnote w:id="18">
    <w:p w:rsidR="004527D5" w:rsidRPr="009421A2" w:rsidRDefault="004527D5" w:rsidP="003C70F0">
      <w:pPr>
        <w:pStyle w:val="EndnoteText"/>
      </w:pPr>
      <w:r w:rsidRPr="00B51DC3">
        <w:tab/>
      </w:r>
      <w:r>
        <w:rPr>
          <w:rFonts w:hint="eastAsia"/>
        </w:rPr>
        <w:tab/>
      </w:r>
      <w:r w:rsidRPr="006A5AF9">
        <w:rPr>
          <w:rStyle w:val="FootnoteReference"/>
          <w:rFonts w:eastAsia="SimSun"/>
        </w:rPr>
        <w:footnoteRef/>
      </w:r>
      <w:r w:rsidRPr="0019793D">
        <w:tab/>
      </w:r>
      <w:r w:rsidRPr="00350752">
        <w:rPr>
          <w:rFonts w:hint="eastAsia"/>
        </w:rPr>
        <w:t>见</w:t>
      </w:r>
      <w:r w:rsidR="0022563B">
        <w:rPr>
          <w:rFonts w:hint="eastAsia"/>
        </w:rPr>
        <w:t>A</w:t>
      </w:r>
      <w:r w:rsidRPr="00350752">
        <w:rPr>
          <w:rFonts w:hint="eastAsia"/>
        </w:rPr>
        <w:t>/</w:t>
      </w:r>
      <w:r w:rsidR="0022563B">
        <w:rPr>
          <w:rFonts w:hint="eastAsia"/>
        </w:rPr>
        <w:t>HRC</w:t>
      </w:r>
      <w:r w:rsidRPr="00350752">
        <w:rPr>
          <w:rFonts w:hint="eastAsia"/>
        </w:rPr>
        <w:t>/</w:t>
      </w:r>
      <w:r w:rsidR="0022563B">
        <w:rPr>
          <w:rFonts w:hint="eastAsia"/>
        </w:rPr>
        <w:t>2</w:t>
      </w:r>
      <w:r w:rsidRPr="00350752">
        <w:rPr>
          <w:rFonts w:hint="eastAsia"/>
        </w:rPr>
        <w:t>0/</w:t>
      </w:r>
      <w:r w:rsidR="0022563B">
        <w:rPr>
          <w:rFonts w:hint="eastAsia"/>
        </w:rPr>
        <w:t>27</w:t>
      </w:r>
      <w:r>
        <w:rPr>
          <w:rFonts w:hint="eastAsia"/>
        </w:rPr>
        <w:t xml:space="preserve">, </w:t>
      </w:r>
      <w:r w:rsidRPr="00350752">
        <w:rPr>
          <w:rFonts w:hint="eastAsia"/>
        </w:rPr>
        <w:t>第</w:t>
      </w:r>
      <w:r w:rsidR="0022563B">
        <w:rPr>
          <w:rFonts w:hint="eastAsia"/>
        </w:rPr>
        <w:t>31</w:t>
      </w:r>
      <w:r w:rsidRPr="00350752">
        <w:rPr>
          <w:rFonts w:hint="eastAsia"/>
        </w:rPr>
        <w:t>段，和</w:t>
      </w:r>
      <w:r w:rsidR="0022563B">
        <w:rPr>
          <w:rFonts w:hint="eastAsia"/>
        </w:rPr>
        <w:t>A</w:t>
      </w:r>
      <w:r w:rsidRPr="00350752">
        <w:rPr>
          <w:rFonts w:hint="eastAsia"/>
        </w:rPr>
        <w:t>/</w:t>
      </w:r>
      <w:r w:rsidR="0022563B">
        <w:rPr>
          <w:rFonts w:hint="eastAsia"/>
        </w:rPr>
        <w:t>HRC</w:t>
      </w:r>
      <w:r w:rsidRPr="00350752">
        <w:rPr>
          <w:rFonts w:hint="eastAsia"/>
        </w:rPr>
        <w:t>/</w:t>
      </w:r>
      <w:r w:rsidR="0022563B">
        <w:rPr>
          <w:rFonts w:hint="eastAsia"/>
        </w:rPr>
        <w:t>23</w:t>
      </w:r>
      <w:r w:rsidRPr="00350752">
        <w:rPr>
          <w:rFonts w:hint="eastAsia"/>
        </w:rPr>
        <w:t>/</w:t>
      </w:r>
      <w:r w:rsidR="0022563B">
        <w:rPr>
          <w:rFonts w:hint="eastAsia"/>
        </w:rPr>
        <w:t>39</w:t>
      </w:r>
      <w:r>
        <w:rPr>
          <w:rFonts w:hint="eastAsia"/>
        </w:rPr>
        <w:t xml:space="preserve">, </w:t>
      </w:r>
      <w:r w:rsidRPr="00350752">
        <w:rPr>
          <w:rFonts w:hint="eastAsia"/>
        </w:rPr>
        <w:t>第</w:t>
      </w:r>
      <w:r w:rsidR="0022563B">
        <w:rPr>
          <w:rFonts w:hint="eastAsia"/>
        </w:rPr>
        <w:t>78</w:t>
      </w:r>
      <w:r w:rsidRPr="00350752">
        <w:rPr>
          <w:rFonts w:hint="eastAsia"/>
        </w:rPr>
        <w:t>段。</w:t>
      </w:r>
    </w:p>
  </w:footnote>
  <w:footnote w:id="19">
    <w:p w:rsidR="004527D5" w:rsidRPr="009421A2" w:rsidRDefault="004527D5" w:rsidP="003C70F0">
      <w:pPr>
        <w:pStyle w:val="EndnoteText"/>
      </w:pPr>
      <w:r w:rsidRPr="00B51DC3">
        <w:tab/>
      </w:r>
      <w:r>
        <w:rPr>
          <w:rFonts w:hint="eastAsia"/>
        </w:rPr>
        <w:tab/>
      </w:r>
      <w:r w:rsidRPr="006A5AF9">
        <w:rPr>
          <w:rStyle w:val="FootnoteReference"/>
          <w:rFonts w:eastAsia="SimSun"/>
        </w:rPr>
        <w:footnoteRef/>
      </w:r>
      <w:r w:rsidRPr="00B51DC3">
        <w:tab/>
      </w:r>
      <w:r w:rsidRPr="00051FAE">
        <w:rPr>
          <w:rFonts w:hint="eastAsia"/>
        </w:rPr>
        <w:t>见人权</w:t>
      </w:r>
      <w:r>
        <w:rPr>
          <w:rFonts w:hint="eastAsia"/>
        </w:rPr>
        <w:t>事务委员会关于迁徙</w:t>
      </w:r>
      <w:r w:rsidRPr="00051FAE">
        <w:rPr>
          <w:rFonts w:hint="eastAsia"/>
        </w:rPr>
        <w:t>自由的第</w:t>
      </w:r>
      <w:r w:rsidR="0022563B">
        <w:rPr>
          <w:rFonts w:hint="eastAsia"/>
        </w:rPr>
        <w:t>27</w:t>
      </w:r>
      <w:r w:rsidRPr="00051FAE">
        <w:rPr>
          <w:rFonts w:hint="eastAsia"/>
        </w:rPr>
        <w:t>号一般性意见</w:t>
      </w:r>
      <w:r>
        <w:rPr>
          <w:rFonts w:hint="eastAsia"/>
        </w:rPr>
        <w:t>(</w:t>
      </w:r>
      <w:r w:rsidR="0022563B">
        <w:rPr>
          <w:rFonts w:hint="eastAsia"/>
        </w:rPr>
        <w:t>1999</w:t>
      </w:r>
      <w:r w:rsidRPr="00051FAE">
        <w:rPr>
          <w:rFonts w:hint="eastAsia"/>
        </w:rPr>
        <w:t>年</w:t>
      </w:r>
      <w:r>
        <w:rPr>
          <w:rFonts w:hint="eastAsia"/>
        </w:rPr>
        <w:t>)</w:t>
      </w:r>
      <w:r w:rsidRPr="00051FAE">
        <w:rPr>
          <w:rFonts w:hint="eastAsia"/>
        </w:rPr>
        <w:t>，第</w:t>
      </w:r>
      <w:r w:rsidR="0022563B">
        <w:rPr>
          <w:rFonts w:hint="eastAsia"/>
        </w:rPr>
        <w:t>13</w:t>
      </w:r>
      <w:r w:rsidRPr="00051FAE">
        <w:rPr>
          <w:rFonts w:hint="eastAsia"/>
        </w:rPr>
        <w:t>段。</w:t>
      </w:r>
    </w:p>
  </w:footnote>
  <w:footnote w:id="20">
    <w:p w:rsidR="004527D5" w:rsidRPr="009421A2" w:rsidRDefault="004527D5" w:rsidP="003C70F0">
      <w:pPr>
        <w:pStyle w:val="EndnoteText"/>
      </w:pPr>
      <w:r w:rsidRPr="00B51DC3">
        <w:tab/>
      </w:r>
      <w:r>
        <w:rPr>
          <w:rFonts w:hint="eastAsia"/>
        </w:rPr>
        <w:tab/>
      </w:r>
      <w:r w:rsidRPr="006A5AF9">
        <w:rPr>
          <w:rStyle w:val="FootnoteReference"/>
          <w:rFonts w:eastAsia="SimSun"/>
        </w:rPr>
        <w:footnoteRef/>
      </w:r>
      <w:r w:rsidRPr="00B51DC3">
        <w:tab/>
      </w:r>
      <w:r>
        <w:rPr>
          <w:rFonts w:hint="eastAsia"/>
        </w:rPr>
        <w:t>见</w:t>
      </w:r>
      <w:r w:rsidRPr="00C13272">
        <w:rPr>
          <w:rFonts w:hint="eastAsia"/>
        </w:rPr>
        <w:t>欧安组织民主人权处，《准则》第</w:t>
      </w:r>
      <w:r w:rsidR="0022563B">
        <w:rPr>
          <w:rFonts w:hint="eastAsia"/>
        </w:rPr>
        <w:t>35</w:t>
      </w:r>
      <w:r w:rsidRPr="00C13272">
        <w:rPr>
          <w:rFonts w:hint="eastAsia"/>
        </w:rPr>
        <w:t>段</w:t>
      </w:r>
      <w:r>
        <w:rPr>
          <w:rFonts w:hint="eastAsia"/>
        </w:rPr>
        <w:t>，</w:t>
      </w:r>
      <w:r w:rsidRPr="00D763B9">
        <w:rPr>
          <w:rFonts w:hint="eastAsia"/>
        </w:rPr>
        <w:t>以及欧洲人权法院，</w:t>
      </w:r>
      <w:r w:rsidR="0022563B">
        <w:rPr>
          <w:rFonts w:hint="eastAsia"/>
        </w:rPr>
        <w:t>“</w:t>
      </w:r>
      <w:r w:rsidR="0022563B">
        <w:rPr>
          <w:rFonts w:hint="eastAsia"/>
        </w:rPr>
        <w:t>Hyde</w:t>
      </w:r>
      <w:r w:rsidRPr="00D763B9">
        <w:rPr>
          <w:rFonts w:hint="eastAsia"/>
        </w:rPr>
        <w:t xml:space="preserve"> </w:t>
      </w:r>
      <w:r w:rsidR="0022563B">
        <w:rPr>
          <w:rFonts w:hint="eastAsia"/>
        </w:rPr>
        <w:t>Park</w:t>
      </w:r>
      <w:r w:rsidRPr="00D763B9">
        <w:rPr>
          <w:rFonts w:hint="eastAsia"/>
        </w:rPr>
        <w:t>等诉摩尔多瓦</w:t>
      </w:r>
      <w:r w:rsidR="0022563B">
        <w:rPr>
          <w:rFonts w:hint="eastAsia"/>
        </w:rPr>
        <w:t>”</w:t>
      </w:r>
      <w:r w:rsidRPr="00D763B9">
        <w:rPr>
          <w:rFonts w:hint="eastAsia"/>
        </w:rPr>
        <w:t>，第</w:t>
      </w:r>
      <w:r w:rsidR="0022563B">
        <w:rPr>
          <w:rFonts w:hint="eastAsia"/>
        </w:rPr>
        <w:t>33482</w:t>
      </w:r>
      <w:r w:rsidRPr="00D763B9">
        <w:rPr>
          <w:rFonts w:hint="eastAsia"/>
        </w:rPr>
        <w:t>/0</w:t>
      </w:r>
      <w:r w:rsidR="0022563B">
        <w:rPr>
          <w:rFonts w:hint="eastAsia"/>
        </w:rPr>
        <w:t>6</w:t>
      </w:r>
      <w:r w:rsidRPr="00D763B9">
        <w:rPr>
          <w:rFonts w:hint="eastAsia"/>
        </w:rPr>
        <w:t>号申诉，</w:t>
      </w:r>
      <w:r w:rsidR="0022563B">
        <w:rPr>
          <w:rFonts w:hint="eastAsia"/>
        </w:rPr>
        <w:t>2</w:t>
      </w:r>
      <w:r w:rsidRPr="00D763B9">
        <w:rPr>
          <w:rFonts w:hint="eastAsia"/>
        </w:rPr>
        <w:t>00</w:t>
      </w:r>
      <w:r w:rsidR="0022563B">
        <w:rPr>
          <w:rFonts w:hint="eastAsia"/>
        </w:rPr>
        <w:t>9</w:t>
      </w:r>
      <w:r w:rsidRPr="00D763B9">
        <w:rPr>
          <w:rFonts w:hint="eastAsia"/>
        </w:rPr>
        <w:t>年</w:t>
      </w:r>
      <w:r w:rsidR="0022563B">
        <w:rPr>
          <w:rFonts w:hint="eastAsia"/>
        </w:rPr>
        <w:t>3</w:t>
      </w:r>
      <w:r w:rsidRPr="00D763B9">
        <w:rPr>
          <w:rFonts w:hint="eastAsia"/>
        </w:rPr>
        <w:t>月</w:t>
      </w:r>
      <w:r w:rsidR="0022563B">
        <w:rPr>
          <w:rFonts w:hint="eastAsia"/>
        </w:rPr>
        <w:t>31</w:t>
      </w:r>
      <w:r w:rsidRPr="00D763B9">
        <w:rPr>
          <w:rFonts w:hint="eastAsia"/>
        </w:rPr>
        <w:t>日。</w:t>
      </w:r>
    </w:p>
  </w:footnote>
  <w:footnote w:id="21">
    <w:p w:rsidR="004527D5" w:rsidRPr="000E4E56" w:rsidRDefault="004527D5" w:rsidP="003C70F0">
      <w:pPr>
        <w:pStyle w:val="EndnoteText"/>
      </w:pPr>
      <w:r w:rsidRPr="00B51DC3">
        <w:tab/>
      </w:r>
      <w:r>
        <w:rPr>
          <w:rFonts w:hint="eastAsia"/>
        </w:rPr>
        <w:tab/>
      </w:r>
      <w:r w:rsidRPr="006A5AF9">
        <w:rPr>
          <w:rStyle w:val="FootnoteReference"/>
          <w:rFonts w:eastAsia="SimSun"/>
        </w:rPr>
        <w:footnoteRef/>
      </w:r>
      <w:r w:rsidRPr="00B51DC3">
        <w:tab/>
      </w:r>
      <w:r w:rsidRPr="00D763B9">
        <w:rPr>
          <w:rFonts w:hint="eastAsia"/>
        </w:rPr>
        <w:t>见欧洲人权法院，</w:t>
      </w:r>
      <w:r w:rsidR="0022563B">
        <w:rPr>
          <w:rFonts w:hint="eastAsia"/>
        </w:rPr>
        <w:t>“</w:t>
      </w:r>
      <w:proofErr w:type="spellStart"/>
      <w:r w:rsidR="0022563B">
        <w:rPr>
          <w:rFonts w:hint="eastAsia"/>
        </w:rPr>
        <w:t>Hashman</w:t>
      </w:r>
      <w:proofErr w:type="spellEnd"/>
      <w:r w:rsidRPr="00D763B9">
        <w:rPr>
          <w:rFonts w:hint="eastAsia"/>
        </w:rPr>
        <w:t>和</w:t>
      </w:r>
      <w:proofErr w:type="spellStart"/>
      <w:r w:rsidR="0022563B">
        <w:rPr>
          <w:rFonts w:hint="eastAsia"/>
        </w:rPr>
        <w:t>Harrup</w:t>
      </w:r>
      <w:proofErr w:type="spellEnd"/>
      <w:r w:rsidRPr="00D763B9">
        <w:rPr>
          <w:rFonts w:hint="eastAsia"/>
        </w:rPr>
        <w:t>诉联合王国</w:t>
      </w:r>
      <w:r w:rsidR="0022563B">
        <w:rPr>
          <w:rFonts w:hint="eastAsia"/>
        </w:rPr>
        <w:t>”</w:t>
      </w:r>
      <w:r w:rsidRPr="00D763B9">
        <w:rPr>
          <w:rFonts w:hint="eastAsia"/>
        </w:rPr>
        <w:t>，第</w:t>
      </w:r>
      <w:r w:rsidR="0022563B">
        <w:rPr>
          <w:rFonts w:hint="eastAsia"/>
        </w:rPr>
        <w:t>25594</w:t>
      </w:r>
      <w:r w:rsidRPr="00D763B9">
        <w:rPr>
          <w:rFonts w:hint="eastAsia"/>
        </w:rPr>
        <w:t>/</w:t>
      </w:r>
      <w:r w:rsidR="0022563B">
        <w:rPr>
          <w:rFonts w:hint="eastAsia"/>
        </w:rPr>
        <w:t>94</w:t>
      </w:r>
      <w:r w:rsidRPr="00D763B9">
        <w:rPr>
          <w:rFonts w:hint="eastAsia"/>
        </w:rPr>
        <w:t>号申诉，</w:t>
      </w:r>
      <w:r w:rsidR="0022563B">
        <w:rPr>
          <w:rFonts w:hint="eastAsia"/>
        </w:rPr>
        <w:t>1999</w:t>
      </w:r>
      <w:r w:rsidRPr="00D763B9">
        <w:rPr>
          <w:rFonts w:hint="eastAsia"/>
        </w:rPr>
        <w:t>年</w:t>
      </w:r>
      <w:r w:rsidR="0022563B">
        <w:rPr>
          <w:rFonts w:hint="eastAsia"/>
        </w:rPr>
        <w:t>11</w:t>
      </w:r>
      <w:r w:rsidRPr="00D763B9">
        <w:rPr>
          <w:rFonts w:hint="eastAsia"/>
        </w:rPr>
        <w:t>月</w:t>
      </w:r>
      <w:r w:rsidR="0022563B">
        <w:rPr>
          <w:rFonts w:hint="eastAsia"/>
        </w:rPr>
        <w:t>25</w:t>
      </w:r>
      <w:r w:rsidRPr="00D763B9">
        <w:rPr>
          <w:rFonts w:hint="eastAsia"/>
        </w:rPr>
        <w:t>日，第</w:t>
      </w:r>
      <w:r w:rsidR="0022563B">
        <w:rPr>
          <w:rFonts w:hint="eastAsia"/>
        </w:rPr>
        <w:t>31</w:t>
      </w:r>
      <w:r w:rsidRPr="00D763B9">
        <w:rPr>
          <w:rFonts w:hint="eastAsia"/>
        </w:rPr>
        <w:t>段，及</w:t>
      </w:r>
      <w:r w:rsidR="0022563B">
        <w:rPr>
          <w:rFonts w:hint="eastAsia"/>
        </w:rPr>
        <w:t>“</w:t>
      </w:r>
      <w:proofErr w:type="spellStart"/>
      <w:r w:rsidR="0022563B">
        <w:rPr>
          <w:rFonts w:hint="eastAsia"/>
        </w:rPr>
        <w:t>Gillan</w:t>
      </w:r>
      <w:proofErr w:type="spellEnd"/>
      <w:r w:rsidRPr="00D763B9">
        <w:rPr>
          <w:rFonts w:hint="eastAsia"/>
        </w:rPr>
        <w:t>和</w:t>
      </w:r>
      <w:r w:rsidR="0022563B">
        <w:rPr>
          <w:rFonts w:hint="eastAsia"/>
        </w:rPr>
        <w:t>Quinton</w:t>
      </w:r>
      <w:r w:rsidRPr="00D763B9">
        <w:rPr>
          <w:rFonts w:hint="eastAsia"/>
        </w:rPr>
        <w:t>诉联合王国</w:t>
      </w:r>
      <w:r w:rsidR="0022563B">
        <w:rPr>
          <w:rFonts w:hint="eastAsia"/>
        </w:rPr>
        <w:t>”</w:t>
      </w:r>
      <w:r w:rsidRPr="00D763B9">
        <w:rPr>
          <w:rFonts w:hint="eastAsia"/>
        </w:rPr>
        <w:t>，第</w:t>
      </w:r>
      <w:r w:rsidR="0022563B">
        <w:rPr>
          <w:rFonts w:hint="eastAsia"/>
        </w:rPr>
        <w:t>4158</w:t>
      </w:r>
      <w:r w:rsidRPr="00D763B9">
        <w:rPr>
          <w:rFonts w:hint="eastAsia"/>
        </w:rPr>
        <w:t>/0</w:t>
      </w:r>
      <w:r w:rsidR="0022563B">
        <w:rPr>
          <w:rFonts w:hint="eastAsia"/>
        </w:rPr>
        <w:t>5</w:t>
      </w:r>
      <w:r w:rsidRPr="00D763B9">
        <w:rPr>
          <w:rFonts w:hint="eastAsia"/>
        </w:rPr>
        <w:t>号申诉，</w:t>
      </w:r>
      <w:r w:rsidR="0022563B">
        <w:rPr>
          <w:rFonts w:hint="eastAsia"/>
        </w:rPr>
        <w:t>2</w:t>
      </w:r>
      <w:r w:rsidRPr="00D763B9">
        <w:rPr>
          <w:rFonts w:hint="eastAsia"/>
        </w:rPr>
        <w:t>0</w:t>
      </w:r>
      <w:r w:rsidR="0022563B">
        <w:rPr>
          <w:rFonts w:hint="eastAsia"/>
        </w:rPr>
        <w:t>1</w:t>
      </w:r>
      <w:r w:rsidRPr="00D763B9">
        <w:rPr>
          <w:rFonts w:hint="eastAsia"/>
        </w:rPr>
        <w:t>0</w:t>
      </w:r>
      <w:r w:rsidRPr="00D763B9">
        <w:rPr>
          <w:rFonts w:hint="eastAsia"/>
        </w:rPr>
        <w:t>年</w:t>
      </w:r>
      <w:r w:rsidR="0022563B">
        <w:rPr>
          <w:rFonts w:hint="eastAsia"/>
        </w:rPr>
        <w:t>1</w:t>
      </w:r>
      <w:r w:rsidRPr="00D763B9">
        <w:rPr>
          <w:rFonts w:hint="eastAsia"/>
        </w:rPr>
        <w:t>月</w:t>
      </w:r>
      <w:r w:rsidR="0022563B">
        <w:rPr>
          <w:rFonts w:hint="eastAsia"/>
        </w:rPr>
        <w:t>12</w:t>
      </w:r>
      <w:r w:rsidRPr="00D763B9">
        <w:rPr>
          <w:rFonts w:hint="eastAsia"/>
        </w:rPr>
        <w:t>日，第</w:t>
      </w:r>
      <w:r w:rsidR="0022563B">
        <w:rPr>
          <w:rFonts w:hint="eastAsia"/>
        </w:rPr>
        <w:t>76</w:t>
      </w:r>
      <w:r w:rsidRPr="00D763B9">
        <w:rPr>
          <w:rFonts w:hint="eastAsia"/>
        </w:rPr>
        <w:t>段。</w:t>
      </w:r>
    </w:p>
  </w:footnote>
  <w:footnote w:id="22">
    <w:p w:rsidR="004527D5" w:rsidRPr="000E4E56" w:rsidRDefault="004527D5" w:rsidP="003C70F0">
      <w:pPr>
        <w:pStyle w:val="EndnoteText"/>
      </w:pPr>
      <w:r w:rsidRPr="00B51DC3">
        <w:tab/>
      </w:r>
      <w:r>
        <w:rPr>
          <w:rFonts w:hint="eastAsia"/>
        </w:rPr>
        <w:tab/>
      </w:r>
      <w:r w:rsidRPr="006A5AF9">
        <w:rPr>
          <w:rStyle w:val="FootnoteReference"/>
          <w:rFonts w:eastAsia="SimSun"/>
        </w:rPr>
        <w:footnoteRef/>
      </w:r>
      <w:r w:rsidRPr="00B51DC3">
        <w:tab/>
      </w:r>
      <w:r w:rsidRPr="00051FAE">
        <w:rPr>
          <w:rFonts w:hint="eastAsia"/>
        </w:rPr>
        <w:t>见人权</w:t>
      </w:r>
      <w:r>
        <w:rPr>
          <w:rFonts w:hint="eastAsia"/>
        </w:rPr>
        <w:t>事务</w:t>
      </w:r>
      <w:r w:rsidRPr="00051FAE">
        <w:rPr>
          <w:rFonts w:hint="eastAsia"/>
        </w:rPr>
        <w:t>委员会第</w:t>
      </w:r>
      <w:r w:rsidR="0022563B">
        <w:rPr>
          <w:rFonts w:hint="eastAsia"/>
        </w:rPr>
        <w:t>27</w:t>
      </w:r>
      <w:r w:rsidRPr="00051FAE">
        <w:rPr>
          <w:rFonts w:hint="eastAsia"/>
        </w:rPr>
        <w:t>号一般性意见，第</w:t>
      </w:r>
      <w:r w:rsidR="0022563B">
        <w:rPr>
          <w:rFonts w:hint="eastAsia"/>
        </w:rPr>
        <w:t>14</w:t>
      </w:r>
      <w:r w:rsidRPr="00051FAE">
        <w:rPr>
          <w:rFonts w:hint="eastAsia"/>
        </w:rPr>
        <w:t>段。</w:t>
      </w:r>
    </w:p>
  </w:footnote>
  <w:footnote w:id="23">
    <w:p w:rsidR="004527D5" w:rsidRPr="000E4E56" w:rsidRDefault="004527D5" w:rsidP="0022563B">
      <w:pPr>
        <w:pStyle w:val="EndnoteText"/>
        <w:tabs>
          <w:tab w:val="left" w:pos="1148"/>
        </w:tabs>
      </w:pPr>
      <w:r w:rsidRPr="00B51DC3">
        <w:tab/>
      </w:r>
      <w:r>
        <w:rPr>
          <w:rFonts w:hint="eastAsia"/>
        </w:rPr>
        <w:tab/>
      </w:r>
      <w:r w:rsidRPr="006A5AF9">
        <w:rPr>
          <w:rStyle w:val="FootnoteReference"/>
          <w:rFonts w:eastAsia="SimSun"/>
        </w:rPr>
        <w:footnoteRef/>
      </w:r>
      <w:r w:rsidRPr="00B51DC3">
        <w:tab/>
      </w:r>
      <w:r w:rsidR="0022563B">
        <w:rPr>
          <w:rFonts w:hint="eastAsia"/>
        </w:rPr>
        <w:tab/>
      </w:r>
      <w:r w:rsidRPr="00051FAE">
        <w:rPr>
          <w:rFonts w:hint="eastAsia"/>
        </w:rPr>
        <w:t>见人权</w:t>
      </w:r>
      <w:r>
        <w:rPr>
          <w:rFonts w:hint="eastAsia"/>
        </w:rPr>
        <w:t>事务</w:t>
      </w:r>
      <w:r w:rsidRPr="00051FAE">
        <w:rPr>
          <w:rFonts w:hint="eastAsia"/>
        </w:rPr>
        <w:t>委员会第</w:t>
      </w:r>
      <w:r w:rsidR="0022563B">
        <w:rPr>
          <w:rFonts w:hint="eastAsia"/>
        </w:rPr>
        <w:t>1119</w:t>
      </w:r>
      <w:r w:rsidRPr="00051FAE">
        <w:rPr>
          <w:rFonts w:hint="eastAsia"/>
        </w:rPr>
        <w:t>/</w:t>
      </w:r>
      <w:r w:rsidR="0022563B">
        <w:rPr>
          <w:rFonts w:hint="eastAsia"/>
        </w:rPr>
        <w:t>2</w:t>
      </w:r>
      <w:r w:rsidRPr="00051FAE">
        <w:rPr>
          <w:rFonts w:hint="eastAsia"/>
        </w:rPr>
        <w:t>00</w:t>
      </w:r>
      <w:r w:rsidR="0022563B">
        <w:rPr>
          <w:rFonts w:hint="eastAsia"/>
        </w:rPr>
        <w:t>2</w:t>
      </w:r>
      <w:r w:rsidRPr="00051FAE">
        <w:rPr>
          <w:rFonts w:hint="eastAsia"/>
        </w:rPr>
        <w:t>号来文，</w:t>
      </w:r>
      <w:r w:rsidR="0022563B">
        <w:rPr>
          <w:rFonts w:hint="eastAsia"/>
        </w:rPr>
        <w:t>“</w:t>
      </w:r>
      <w:r w:rsidR="0022563B">
        <w:rPr>
          <w:rFonts w:hint="eastAsia"/>
        </w:rPr>
        <w:t>Lee</w:t>
      </w:r>
      <w:r>
        <w:rPr>
          <w:rFonts w:hint="eastAsia"/>
        </w:rPr>
        <w:t>诉大韩民国</w:t>
      </w:r>
      <w:r w:rsidR="0022563B">
        <w:rPr>
          <w:rFonts w:hint="eastAsia"/>
        </w:rPr>
        <w:t>”</w:t>
      </w:r>
      <w:r w:rsidRPr="00051FAE">
        <w:rPr>
          <w:rFonts w:hint="eastAsia"/>
        </w:rPr>
        <w:t>，</w:t>
      </w:r>
      <w:r w:rsidR="0022563B">
        <w:rPr>
          <w:rFonts w:hint="eastAsia"/>
        </w:rPr>
        <w:t>2</w:t>
      </w:r>
      <w:r w:rsidRPr="00051FAE">
        <w:rPr>
          <w:rFonts w:hint="eastAsia"/>
        </w:rPr>
        <w:t>00</w:t>
      </w:r>
      <w:r w:rsidR="0022563B">
        <w:rPr>
          <w:rFonts w:hint="eastAsia"/>
        </w:rPr>
        <w:t>5</w:t>
      </w:r>
      <w:r w:rsidRPr="00051FAE">
        <w:rPr>
          <w:rFonts w:hint="eastAsia"/>
        </w:rPr>
        <w:t>年</w:t>
      </w:r>
      <w:r w:rsidR="0022563B">
        <w:rPr>
          <w:rFonts w:hint="eastAsia"/>
        </w:rPr>
        <w:t>7</w:t>
      </w:r>
      <w:r w:rsidRPr="00051FAE">
        <w:rPr>
          <w:rFonts w:hint="eastAsia"/>
        </w:rPr>
        <w:t>月</w:t>
      </w:r>
      <w:r w:rsidR="0022563B">
        <w:rPr>
          <w:rFonts w:hint="eastAsia"/>
        </w:rPr>
        <w:t>2</w:t>
      </w:r>
      <w:r w:rsidRPr="00051FAE">
        <w:rPr>
          <w:rFonts w:hint="eastAsia"/>
        </w:rPr>
        <w:t>0</w:t>
      </w:r>
      <w:r w:rsidRPr="00051FAE">
        <w:rPr>
          <w:rFonts w:hint="eastAsia"/>
        </w:rPr>
        <w:t>日通过的意见，第</w:t>
      </w:r>
      <w:r w:rsidR="0022563B">
        <w:rPr>
          <w:rFonts w:hint="eastAsia"/>
        </w:rPr>
        <w:t>7</w:t>
      </w:r>
      <w:r w:rsidRPr="00051FAE">
        <w:rPr>
          <w:rFonts w:hint="eastAsia"/>
        </w:rPr>
        <w:t>.</w:t>
      </w:r>
      <w:r w:rsidR="0022563B">
        <w:rPr>
          <w:rFonts w:hint="eastAsia"/>
        </w:rPr>
        <w:t>3</w:t>
      </w:r>
      <w:r w:rsidRPr="00051FAE">
        <w:rPr>
          <w:rFonts w:hint="eastAsia"/>
        </w:rPr>
        <w:t>段。</w:t>
      </w:r>
    </w:p>
  </w:footnote>
  <w:footnote w:id="24">
    <w:p w:rsidR="004527D5" w:rsidRPr="000E4E56" w:rsidRDefault="004527D5" w:rsidP="003C70F0">
      <w:pPr>
        <w:pStyle w:val="EndnoteText"/>
      </w:pPr>
      <w:r w:rsidRPr="00B51DC3">
        <w:tab/>
      </w:r>
      <w:r>
        <w:rPr>
          <w:rFonts w:hint="eastAsia"/>
        </w:rPr>
        <w:tab/>
      </w:r>
      <w:r w:rsidRPr="006A5AF9">
        <w:rPr>
          <w:rStyle w:val="FootnoteReference"/>
          <w:rFonts w:eastAsia="SimSun"/>
        </w:rPr>
        <w:footnoteRef/>
      </w:r>
      <w:r w:rsidRPr="00B35663">
        <w:tab/>
      </w:r>
      <w:r w:rsidRPr="00051FAE">
        <w:rPr>
          <w:rFonts w:hint="eastAsia"/>
        </w:rPr>
        <w:t>见</w:t>
      </w:r>
      <w:r w:rsidR="0022563B">
        <w:rPr>
          <w:rFonts w:hint="eastAsia"/>
        </w:rPr>
        <w:t>A</w:t>
      </w:r>
      <w:r w:rsidRPr="00051FAE">
        <w:rPr>
          <w:rFonts w:hint="eastAsia"/>
        </w:rPr>
        <w:t>/</w:t>
      </w:r>
      <w:r w:rsidR="0022563B">
        <w:rPr>
          <w:rFonts w:hint="eastAsia"/>
        </w:rPr>
        <w:t>HRC</w:t>
      </w:r>
      <w:r w:rsidRPr="00051FAE">
        <w:rPr>
          <w:rFonts w:hint="eastAsia"/>
        </w:rPr>
        <w:t>/</w:t>
      </w:r>
      <w:r w:rsidR="0022563B">
        <w:rPr>
          <w:rFonts w:hint="eastAsia"/>
        </w:rPr>
        <w:t>2</w:t>
      </w:r>
      <w:r w:rsidRPr="00051FAE">
        <w:rPr>
          <w:rFonts w:hint="eastAsia"/>
        </w:rPr>
        <w:t>0/</w:t>
      </w:r>
      <w:r w:rsidR="0022563B">
        <w:rPr>
          <w:rFonts w:hint="eastAsia"/>
        </w:rPr>
        <w:t>27</w:t>
      </w:r>
      <w:r w:rsidRPr="00051FAE">
        <w:rPr>
          <w:rFonts w:hint="eastAsia"/>
        </w:rPr>
        <w:t>第</w:t>
      </w:r>
      <w:r w:rsidR="0022563B">
        <w:rPr>
          <w:rFonts w:hint="eastAsia"/>
        </w:rPr>
        <w:t>41</w:t>
      </w:r>
      <w:r w:rsidRPr="00051FAE">
        <w:rPr>
          <w:rFonts w:hint="eastAsia"/>
        </w:rPr>
        <w:t>段，</w:t>
      </w:r>
      <w:r>
        <w:rPr>
          <w:rFonts w:hint="eastAsia"/>
        </w:rPr>
        <w:t>以及</w:t>
      </w:r>
      <w:r w:rsidRPr="00C13272">
        <w:rPr>
          <w:rFonts w:hint="eastAsia"/>
        </w:rPr>
        <w:t>欧安组织民主人权处</w:t>
      </w:r>
      <w:r>
        <w:rPr>
          <w:rFonts w:hint="eastAsia"/>
        </w:rPr>
        <w:t>，《准则》</w:t>
      </w:r>
      <w:r w:rsidRPr="00C13272">
        <w:rPr>
          <w:rFonts w:hint="eastAsia"/>
        </w:rPr>
        <w:t>第</w:t>
      </w:r>
      <w:r w:rsidR="0022563B">
        <w:rPr>
          <w:rFonts w:hint="eastAsia"/>
        </w:rPr>
        <w:t>2</w:t>
      </w:r>
      <w:r>
        <w:rPr>
          <w:rFonts w:hint="eastAsia"/>
        </w:rPr>
        <w:t>0</w:t>
      </w:r>
      <w:r w:rsidRPr="00C13272">
        <w:rPr>
          <w:rFonts w:hint="eastAsia"/>
        </w:rPr>
        <w:t>段。</w:t>
      </w:r>
    </w:p>
  </w:footnote>
  <w:footnote w:id="25">
    <w:p w:rsidR="004527D5" w:rsidRPr="000E4E56" w:rsidRDefault="004527D5" w:rsidP="004527D5">
      <w:pPr>
        <w:pStyle w:val="EndnoteText"/>
        <w:tabs>
          <w:tab w:val="left" w:pos="1148"/>
        </w:tabs>
      </w:pPr>
      <w:r w:rsidRPr="00B51DC3">
        <w:tab/>
      </w:r>
      <w:r>
        <w:rPr>
          <w:rFonts w:hint="eastAsia"/>
        </w:rPr>
        <w:tab/>
      </w:r>
      <w:r w:rsidRPr="006A5AF9">
        <w:rPr>
          <w:rStyle w:val="FootnoteReference"/>
          <w:rFonts w:eastAsia="SimSun"/>
        </w:rPr>
        <w:footnoteRef/>
      </w:r>
      <w:r w:rsidRPr="00B51DC3">
        <w:tab/>
      </w:r>
      <w:r>
        <w:rPr>
          <w:rFonts w:hint="eastAsia"/>
        </w:rPr>
        <w:tab/>
      </w:r>
      <w:r w:rsidRPr="00D763B9">
        <w:rPr>
          <w:rFonts w:hint="eastAsia"/>
        </w:rPr>
        <w:t>欧洲人权法院，</w:t>
      </w:r>
      <w:r w:rsidR="0022563B">
        <w:rPr>
          <w:rFonts w:hint="eastAsia"/>
        </w:rPr>
        <w:t>“</w:t>
      </w:r>
      <w:proofErr w:type="spellStart"/>
      <w:r w:rsidR="0022563B">
        <w:rPr>
          <w:rFonts w:hint="eastAsia"/>
        </w:rPr>
        <w:t>Kuznetsov</w:t>
      </w:r>
      <w:proofErr w:type="spellEnd"/>
      <w:r w:rsidRPr="00D763B9">
        <w:rPr>
          <w:rFonts w:hint="eastAsia"/>
        </w:rPr>
        <w:t>诉俄罗斯</w:t>
      </w:r>
      <w:r w:rsidR="0022563B">
        <w:rPr>
          <w:rFonts w:hint="eastAsia"/>
        </w:rPr>
        <w:t>”</w:t>
      </w:r>
      <w:r w:rsidRPr="00D763B9">
        <w:rPr>
          <w:rFonts w:hint="eastAsia"/>
        </w:rPr>
        <w:t>，第</w:t>
      </w:r>
      <w:r w:rsidR="0022563B">
        <w:rPr>
          <w:rFonts w:hint="eastAsia"/>
        </w:rPr>
        <w:t>1</w:t>
      </w:r>
      <w:r w:rsidRPr="00D763B9">
        <w:rPr>
          <w:rFonts w:hint="eastAsia"/>
        </w:rPr>
        <w:t>0</w:t>
      </w:r>
      <w:r w:rsidR="0022563B">
        <w:rPr>
          <w:rFonts w:hint="eastAsia"/>
        </w:rPr>
        <w:t>877</w:t>
      </w:r>
      <w:r w:rsidRPr="00D763B9">
        <w:rPr>
          <w:rFonts w:hint="eastAsia"/>
        </w:rPr>
        <w:t>/0</w:t>
      </w:r>
      <w:r w:rsidR="0022563B">
        <w:rPr>
          <w:rFonts w:hint="eastAsia"/>
        </w:rPr>
        <w:t>4</w:t>
      </w:r>
      <w:r w:rsidRPr="00D763B9">
        <w:rPr>
          <w:rFonts w:hint="eastAsia"/>
        </w:rPr>
        <w:t>号申诉，</w:t>
      </w:r>
      <w:r w:rsidR="0022563B">
        <w:rPr>
          <w:rFonts w:hint="eastAsia"/>
        </w:rPr>
        <w:t>2</w:t>
      </w:r>
      <w:r w:rsidRPr="00D763B9">
        <w:rPr>
          <w:rFonts w:hint="eastAsia"/>
        </w:rPr>
        <w:t>00</w:t>
      </w:r>
      <w:r w:rsidR="0022563B">
        <w:rPr>
          <w:rFonts w:hint="eastAsia"/>
        </w:rPr>
        <w:t>8</w:t>
      </w:r>
      <w:r w:rsidRPr="00D763B9">
        <w:rPr>
          <w:rFonts w:hint="eastAsia"/>
        </w:rPr>
        <w:t>年</w:t>
      </w:r>
      <w:r w:rsidR="0022563B">
        <w:rPr>
          <w:rFonts w:hint="eastAsia"/>
        </w:rPr>
        <w:t>1</w:t>
      </w:r>
      <w:r w:rsidRPr="00D763B9">
        <w:rPr>
          <w:rFonts w:hint="eastAsia"/>
        </w:rPr>
        <w:t>0</w:t>
      </w:r>
      <w:r w:rsidRPr="00D763B9">
        <w:rPr>
          <w:rFonts w:hint="eastAsia"/>
        </w:rPr>
        <w:t>月</w:t>
      </w:r>
      <w:r w:rsidR="0022563B">
        <w:rPr>
          <w:rFonts w:hint="eastAsia"/>
        </w:rPr>
        <w:t>23</w:t>
      </w:r>
      <w:r w:rsidRPr="00D763B9">
        <w:rPr>
          <w:rFonts w:hint="eastAsia"/>
        </w:rPr>
        <w:t>日，第</w:t>
      </w:r>
      <w:r w:rsidR="0022563B">
        <w:rPr>
          <w:rFonts w:hint="eastAsia"/>
        </w:rPr>
        <w:t>44</w:t>
      </w:r>
      <w:r w:rsidRPr="00D763B9">
        <w:rPr>
          <w:rFonts w:hint="eastAsia"/>
        </w:rPr>
        <w:t>段，以及美洲人权委员会，《关于公民安全和人权的报告》第</w:t>
      </w:r>
      <w:r w:rsidR="0022563B">
        <w:rPr>
          <w:rFonts w:hint="eastAsia"/>
        </w:rPr>
        <w:t>197</w:t>
      </w:r>
      <w:r w:rsidRPr="00D763B9">
        <w:rPr>
          <w:rFonts w:hint="eastAsia"/>
        </w:rPr>
        <w:t>段。</w:t>
      </w:r>
    </w:p>
  </w:footnote>
  <w:footnote w:id="26">
    <w:p w:rsidR="004527D5" w:rsidRPr="009421A2" w:rsidRDefault="004527D5" w:rsidP="004527D5">
      <w:pPr>
        <w:pStyle w:val="EndnoteText"/>
        <w:tabs>
          <w:tab w:val="left" w:pos="1276"/>
        </w:tabs>
      </w:pPr>
      <w:r w:rsidRPr="00B51DC3">
        <w:tab/>
      </w:r>
      <w:r>
        <w:rPr>
          <w:rFonts w:hint="eastAsia"/>
        </w:rPr>
        <w:tab/>
      </w:r>
      <w:r w:rsidRPr="006A5AF9">
        <w:rPr>
          <w:rStyle w:val="FootnoteReference"/>
          <w:rFonts w:eastAsia="SimSun"/>
        </w:rPr>
        <w:footnoteRef/>
      </w:r>
      <w:r w:rsidRPr="00B51DC3">
        <w:tab/>
      </w:r>
      <w:r w:rsidRPr="00051FAE">
        <w:rPr>
          <w:rFonts w:hint="eastAsia"/>
        </w:rPr>
        <w:t>人权理事会第</w:t>
      </w:r>
      <w:r w:rsidR="0022563B">
        <w:rPr>
          <w:rFonts w:hint="eastAsia"/>
        </w:rPr>
        <w:t>25</w:t>
      </w:r>
      <w:r w:rsidRPr="00051FAE">
        <w:rPr>
          <w:rFonts w:hint="eastAsia"/>
        </w:rPr>
        <w:t>/</w:t>
      </w:r>
      <w:r w:rsidR="0022563B">
        <w:rPr>
          <w:rFonts w:hint="eastAsia"/>
        </w:rPr>
        <w:t>38</w:t>
      </w:r>
      <w:r w:rsidRPr="00051FAE">
        <w:rPr>
          <w:rFonts w:hint="eastAsia"/>
        </w:rPr>
        <w:t>号决议；另见</w:t>
      </w:r>
      <w:r w:rsidR="0022563B">
        <w:rPr>
          <w:rFonts w:hint="eastAsia"/>
        </w:rPr>
        <w:t>A</w:t>
      </w:r>
      <w:r w:rsidRPr="00051FAE">
        <w:rPr>
          <w:rFonts w:hint="eastAsia"/>
        </w:rPr>
        <w:t>/</w:t>
      </w:r>
      <w:r w:rsidR="0022563B">
        <w:rPr>
          <w:rFonts w:hint="eastAsia"/>
        </w:rPr>
        <w:t>HRC</w:t>
      </w:r>
      <w:r w:rsidRPr="00051FAE">
        <w:rPr>
          <w:rFonts w:hint="eastAsia"/>
        </w:rPr>
        <w:t>/</w:t>
      </w:r>
      <w:r w:rsidR="0022563B">
        <w:rPr>
          <w:rFonts w:hint="eastAsia"/>
        </w:rPr>
        <w:t>2</w:t>
      </w:r>
      <w:r w:rsidRPr="00051FAE">
        <w:rPr>
          <w:rFonts w:hint="eastAsia"/>
        </w:rPr>
        <w:t>0/</w:t>
      </w:r>
      <w:r w:rsidR="0022563B">
        <w:rPr>
          <w:rFonts w:hint="eastAsia"/>
        </w:rPr>
        <w:t>27</w:t>
      </w:r>
      <w:r>
        <w:rPr>
          <w:rFonts w:hint="eastAsia"/>
        </w:rPr>
        <w:t xml:space="preserve">, </w:t>
      </w:r>
      <w:r w:rsidRPr="00051FAE">
        <w:rPr>
          <w:rFonts w:hint="eastAsia"/>
        </w:rPr>
        <w:t>第</w:t>
      </w:r>
      <w:r w:rsidR="0022563B">
        <w:rPr>
          <w:rFonts w:hint="eastAsia"/>
        </w:rPr>
        <w:t>42</w:t>
      </w:r>
      <w:r w:rsidRPr="00051FAE">
        <w:rPr>
          <w:rFonts w:hint="eastAsia"/>
        </w:rPr>
        <w:t>段。</w:t>
      </w:r>
    </w:p>
  </w:footnote>
  <w:footnote w:id="27">
    <w:p w:rsidR="004527D5" w:rsidRPr="009421A2" w:rsidRDefault="004527D5" w:rsidP="003C70F0">
      <w:pPr>
        <w:pStyle w:val="EndnoteText"/>
      </w:pPr>
      <w:r w:rsidRPr="00B51DC3">
        <w:tab/>
      </w:r>
      <w:r>
        <w:rPr>
          <w:rFonts w:hint="eastAsia"/>
        </w:rPr>
        <w:tab/>
      </w:r>
      <w:r w:rsidRPr="006A5AF9">
        <w:rPr>
          <w:rStyle w:val="FootnoteReference"/>
          <w:rFonts w:eastAsia="SimSun"/>
        </w:rPr>
        <w:footnoteRef/>
      </w:r>
      <w:r w:rsidRPr="00B51DC3">
        <w:tab/>
      </w:r>
      <w:r w:rsidR="0022563B">
        <w:t>Geneva</w:t>
      </w:r>
      <w:r w:rsidRPr="009421A2">
        <w:t xml:space="preserve"> </w:t>
      </w:r>
      <w:r w:rsidR="0022563B">
        <w:t>Academy</w:t>
      </w:r>
      <w:r w:rsidRPr="009421A2">
        <w:t xml:space="preserve"> </w:t>
      </w:r>
      <w:r w:rsidR="0022563B">
        <w:t>of</w:t>
      </w:r>
      <w:r w:rsidRPr="009421A2">
        <w:t xml:space="preserve"> </w:t>
      </w:r>
      <w:r w:rsidR="0022563B">
        <w:t>International</w:t>
      </w:r>
      <w:r w:rsidRPr="009421A2">
        <w:t xml:space="preserve"> </w:t>
      </w:r>
      <w:r w:rsidR="0022563B">
        <w:t>Humanitarian</w:t>
      </w:r>
      <w:r w:rsidRPr="009421A2">
        <w:t xml:space="preserve"> </w:t>
      </w:r>
      <w:r w:rsidR="0022563B">
        <w:t>Law</w:t>
      </w:r>
      <w:r w:rsidRPr="009421A2">
        <w:t xml:space="preserve"> </w:t>
      </w:r>
      <w:r w:rsidR="0022563B">
        <w:t>and</w:t>
      </w:r>
      <w:r w:rsidRPr="009421A2">
        <w:t xml:space="preserve"> </w:t>
      </w:r>
      <w:r w:rsidR="0022563B">
        <w:t>Human</w:t>
      </w:r>
      <w:r w:rsidRPr="009421A2">
        <w:t xml:space="preserve"> </w:t>
      </w:r>
      <w:r w:rsidR="0022563B">
        <w:t>Rights</w:t>
      </w:r>
      <w:r>
        <w:t xml:space="preserve">, </w:t>
      </w:r>
      <w:r w:rsidR="0022563B">
        <w:rPr>
          <w:i/>
        </w:rPr>
        <w:t>Facilitating</w:t>
      </w:r>
      <w:r w:rsidRPr="009421A2">
        <w:rPr>
          <w:i/>
        </w:rPr>
        <w:t xml:space="preserve"> </w:t>
      </w:r>
      <w:r w:rsidR="0022563B">
        <w:rPr>
          <w:i/>
        </w:rPr>
        <w:t>Peaceful</w:t>
      </w:r>
      <w:r w:rsidRPr="009421A2">
        <w:rPr>
          <w:i/>
        </w:rPr>
        <w:t xml:space="preserve"> </w:t>
      </w:r>
      <w:r w:rsidR="0022563B">
        <w:rPr>
          <w:i/>
        </w:rPr>
        <w:t>Protests</w:t>
      </w:r>
      <w:r w:rsidRPr="009421A2">
        <w:rPr>
          <w:i/>
        </w:rPr>
        <w:t xml:space="preserve"> </w:t>
      </w:r>
      <w:r w:rsidRPr="009421A2">
        <w:t>(</w:t>
      </w:r>
      <w:r w:rsidR="0022563B">
        <w:t>2</w:t>
      </w:r>
      <w:r w:rsidRPr="009421A2">
        <w:t>0</w:t>
      </w:r>
      <w:r w:rsidR="0022563B">
        <w:t>14</w:t>
      </w:r>
      <w:r w:rsidRPr="009421A2">
        <w:t>)</w:t>
      </w:r>
      <w:r>
        <w:t>，</w:t>
      </w:r>
      <w:r w:rsidR="0022563B">
        <w:t>p</w:t>
      </w:r>
      <w:r>
        <w:t xml:space="preserve">. </w:t>
      </w:r>
      <w:r w:rsidR="0022563B">
        <w:t>16</w:t>
      </w:r>
      <w:r>
        <w:t>.</w:t>
      </w:r>
    </w:p>
  </w:footnote>
  <w:footnote w:id="28">
    <w:p w:rsidR="004527D5" w:rsidRPr="009421A2" w:rsidRDefault="004527D5" w:rsidP="003C70F0">
      <w:pPr>
        <w:pStyle w:val="EndnoteText"/>
      </w:pPr>
      <w:r w:rsidRPr="00B51DC3">
        <w:tab/>
      </w:r>
      <w:r>
        <w:rPr>
          <w:rFonts w:hint="eastAsia"/>
        </w:rPr>
        <w:tab/>
      </w:r>
      <w:r w:rsidRPr="006A5AF9">
        <w:rPr>
          <w:rStyle w:val="FootnoteReference"/>
          <w:rFonts w:eastAsia="SimSun"/>
        </w:rPr>
        <w:footnoteRef/>
      </w:r>
      <w:r w:rsidRPr="00B51DC3">
        <w:tab/>
      </w:r>
      <w:r w:rsidRPr="00B05077">
        <w:rPr>
          <w:rFonts w:hint="eastAsia"/>
        </w:rPr>
        <w:t>见欧洲人权法院，</w:t>
      </w:r>
      <w:r w:rsidR="0022563B">
        <w:rPr>
          <w:rFonts w:hint="eastAsia"/>
        </w:rPr>
        <w:t>“</w:t>
      </w:r>
      <w:proofErr w:type="spellStart"/>
      <w:r w:rsidR="0022563B">
        <w:rPr>
          <w:rFonts w:hint="eastAsia"/>
        </w:rPr>
        <w:t>Frumkin</w:t>
      </w:r>
      <w:proofErr w:type="spellEnd"/>
      <w:r>
        <w:rPr>
          <w:rFonts w:hint="eastAsia"/>
        </w:rPr>
        <w:t>诉俄罗斯</w:t>
      </w:r>
      <w:r w:rsidR="0022563B">
        <w:rPr>
          <w:rFonts w:hint="eastAsia"/>
        </w:rPr>
        <w:t>”</w:t>
      </w:r>
      <w:r w:rsidRPr="00B05077">
        <w:rPr>
          <w:rFonts w:hint="eastAsia"/>
        </w:rPr>
        <w:t>，第</w:t>
      </w:r>
      <w:r w:rsidR="0022563B">
        <w:rPr>
          <w:rFonts w:hint="eastAsia"/>
        </w:rPr>
        <w:t>74568</w:t>
      </w:r>
      <w:r w:rsidRPr="00B05077">
        <w:rPr>
          <w:rFonts w:hint="eastAsia"/>
        </w:rPr>
        <w:t>/</w:t>
      </w:r>
      <w:r w:rsidR="0022563B">
        <w:rPr>
          <w:rFonts w:hint="eastAsia"/>
        </w:rPr>
        <w:t>12</w:t>
      </w:r>
      <w:r>
        <w:rPr>
          <w:rFonts w:hint="eastAsia"/>
        </w:rPr>
        <w:t>号申诉</w:t>
      </w:r>
      <w:r w:rsidRPr="00B05077">
        <w:rPr>
          <w:rFonts w:hint="eastAsia"/>
        </w:rPr>
        <w:t>，</w:t>
      </w:r>
      <w:r w:rsidR="0022563B">
        <w:rPr>
          <w:rFonts w:hint="eastAsia"/>
        </w:rPr>
        <w:t>2</w:t>
      </w:r>
      <w:r w:rsidRPr="00B05077">
        <w:rPr>
          <w:rFonts w:hint="eastAsia"/>
        </w:rPr>
        <w:t>0</w:t>
      </w:r>
      <w:r w:rsidR="0022563B">
        <w:rPr>
          <w:rFonts w:hint="eastAsia"/>
        </w:rPr>
        <w:t>16</w:t>
      </w:r>
      <w:r w:rsidRPr="00B05077">
        <w:rPr>
          <w:rFonts w:hint="eastAsia"/>
        </w:rPr>
        <w:t>年</w:t>
      </w:r>
      <w:r w:rsidR="0022563B">
        <w:rPr>
          <w:rFonts w:hint="eastAsia"/>
        </w:rPr>
        <w:t>1</w:t>
      </w:r>
      <w:r w:rsidRPr="00B05077">
        <w:rPr>
          <w:rFonts w:hint="eastAsia"/>
        </w:rPr>
        <w:t>月</w:t>
      </w:r>
      <w:r w:rsidR="0022563B">
        <w:rPr>
          <w:rFonts w:hint="eastAsia"/>
        </w:rPr>
        <w:t>5</w:t>
      </w:r>
      <w:r>
        <w:rPr>
          <w:rFonts w:hint="eastAsia"/>
        </w:rPr>
        <w:t>日</w:t>
      </w:r>
      <w:r w:rsidRPr="00B05077">
        <w:rPr>
          <w:rFonts w:hint="eastAsia"/>
        </w:rPr>
        <w:t>，第</w:t>
      </w:r>
      <w:r w:rsidR="0022563B">
        <w:rPr>
          <w:rFonts w:hint="eastAsia"/>
        </w:rPr>
        <w:t>127</w:t>
      </w:r>
      <w:r w:rsidRPr="00B05077">
        <w:rPr>
          <w:rFonts w:hint="eastAsia"/>
        </w:rPr>
        <w:t>-</w:t>
      </w:r>
      <w:r w:rsidR="0022563B">
        <w:rPr>
          <w:rFonts w:hint="eastAsia"/>
        </w:rPr>
        <w:t>128</w:t>
      </w:r>
      <w:r w:rsidRPr="00B05077">
        <w:rPr>
          <w:rFonts w:hint="eastAsia"/>
        </w:rPr>
        <w:t>段。</w:t>
      </w:r>
    </w:p>
  </w:footnote>
  <w:footnote w:id="29">
    <w:p w:rsidR="004527D5" w:rsidRPr="00044FBF" w:rsidRDefault="004527D5" w:rsidP="003C70F0">
      <w:pPr>
        <w:pStyle w:val="EndnoteText"/>
      </w:pPr>
      <w:r w:rsidRPr="00B51DC3">
        <w:tab/>
      </w:r>
      <w:r>
        <w:rPr>
          <w:rFonts w:hint="eastAsia"/>
        </w:rPr>
        <w:tab/>
      </w:r>
      <w:r w:rsidRPr="006A5AF9">
        <w:rPr>
          <w:rStyle w:val="FootnoteReference"/>
          <w:rFonts w:eastAsia="SimSun"/>
        </w:rPr>
        <w:footnoteRef/>
      </w:r>
      <w:r w:rsidRPr="00B51DC3">
        <w:tab/>
      </w:r>
      <w:r>
        <w:t>见</w:t>
      </w:r>
      <w:r>
        <w:rPr>
          <w:rFonts w:hint="eastAsia"/>
        </w:rPr>
        <w:t>《</w:t>
      </w:r>
      <w:r w:rsidRPr="009A6DC1">
        <w:rPr>
          <w:rFonts w:hint="eastAsia"/>
        </w:rPr>
        <w:t>执法人员使用武力和火器的基本原则</w:t>
      </w:r>
      <w:r>
        <w:rPr>
          <w:rFonts w:hint="eastAsia"/>
        </w:rPr>
        <w:t>》原则</w:t>
      </w:r>
      <w:r w:rsidR="0022563B">
        <w:rPr>
          <w:rFonts w:hint="eastAsia"/>
        </w:rPr>
        <w:t>5</w:t>
      </w:r>
      <w:r>
        <w:rPr>
          <w:rFonts w:hint="eastAsia"/>
        </w:rPr>
        <w:t>。</w:t>
      </w:r>
    </w:p>
  </w:footnote>
  <w:footnote w:id="30">
    <w:p w:rsidR="004527D5" w:rsidRPr="009421A2" w:rsidRDefault="004527D5" w:rsidP="003C70F0">
      <w:pPr>
        <w:pStyle w:val="EndnoteText"/>
      </w:pPr>
      <w:r w:rsidRPr="00B51DC3">
        <w:tab/>
      </w:r>
      <w:r>
        <w:rPr>
          <w:rFonts w:hint="eastAsia"/>
        </w:rPr>
        <w:tab/>
      </w:r>
      <w:r w:rsidRPr="006A5AF9">
        <w:rPr>
          <w:rStyle w:val="FootnoteReference"/>
          <w:rFonts w:eastAsia="SimSun"/>
        </w:rPr>
        <w:footnoteRef/>
      </w:r>
      <w:r w:rsidRPr="00B51DC3">
        <w:tab/>
      </w:r>
      <w:r w:rsidRPr="00C13272">
        <w:rPr>
          <w:rFonts w:hint="eastAsia"/>
        </w:rPr>
        <w:t>欧安组织民主人权处，《准则》第</w:t>
      </w:r>
      <w:r w:rsidR="0022563B">
        <w:rPr>
          <w:rFonts w:hint="eastAsia"/>
        </w:rPr>
        <w:t>32</w:t>
      </w:r>
      <w:r w:rsidRPr="00C13272">
        <w:rPr>
          <w:rFonts w:hint="eastAsia"/>
        </w:rPr>
        <w:t>段。</w:t>
      </w:r>
    </w:p>
  </w:footnote>
  <w:footnote w:id="31">
    <w:p w:rsidR="004527D5" w:rsidRPr="009421A2" w:rsidRDefault="004527D5" w:rsidP="003C70F0">
      <w:pPr>
        <w:pStyle w:val="EndnoteText"/>
      </w:pPr>
      <w:r w:rsidRPr="00B51DC3">
        <w:tab/>
      </w:r>
      <w:r>
        <w:rPr>
          <w:rFonts w:hint="eastAsia"/>
        </w:rPr>
        <w:tab/>
      </w:r>
      <w:r w:rsidRPr="006A5AF9">
        <w:rPr>
          <w:rStyle w:val="FootnoteReference"/>
          <w:rFonts w:eastAsia="SimSun"/>
        </w:rPr>
        <w:footnoteRef/>
      </w:r>
      <w:r w:rsidRPr="00B51DC3">
        <w:tab/>
      </w:r>
      <w:r>
        <w:rPr>
          <w:rFonts w:hint="eastAsia"/>
        </w:rPr>
        <w:t>见</w:t>
      </w:r>
      <w:r w:rsidRPr="00E069F5">
        <w:rPr>
          <w:rFonts w:hint="eastAsia"/>
        </w:rPr>
        <w:t>《基本原则》原则</w:t>
      </w:r>
      <w:r w:rsidR="0022563B">
        <w:t>2</w:t>
      </w:r>
      <w:r>
        <w:t>0</w:t>
      </w:r>
      <w:r w:rsidRPr="00E069F5">
        <w:rPr>
          <w:rFonts w:hint="eastAsia"/>
        </w:rPr>
        <w:t>。</w:t>
      </w:r>
      <w:r>
        <w:rPr>
          <w:rFonts w:hint="eastAsia"/>
        </w:rPr>
        <w:t>以及</w:t>
      </w:r>
      <w:r w:rsidRPr="00C13272">
        <w:rPr>
          <w:rFonts w:hint="eastAsia"/>
        </w:rPr>
        <w:t>欧安组织民主人权处，《准则》第</w:t>
      </w:r>
      <w:r w:rsidR="0022563B">
        <w:rPr>
          <w:rFonts w:hint="eastAsia"/>
        </w:rPr>
        <w:t>147</w:t>
      </w:r>
      <w:r w:rsidRPr="00C13272">
        <w:rPr>
          <w:rFonts w:hint="eastAsia"/>
        </w:rPr>
        <w:t>段。</w:t>
      </w:r>
    </w:p>
  </w:footnote>
  <w:footnote w:id="32">
    <w:p w:rsidR="004527D5" w:rsidRPr="009421A2" w:rsidRDefault="004527D5" w:rsidP="003C70F0">
      <w:pPr>
        <w:pStyle w:val="EndnoteText"/>
        <w:rPr>
          <w:lang w:val="en-AU"/>
        </w:rPr>
      </w:pPr>
      <w:r w:rsidRPr="00B51DC3">
        <w:tab/>
      </w:r>
      <w:r>
        <w:rPr>
          <w:rFonts w:hint="eastAsia"/>
        </w:rPr>
        <w:tab/>
      </w:r>
      <w:r w:rsidRPr="006A5AF9">
        <w:rPr>
          <w:rStyle w:val="FootnoteReference"/>
          <w:rFonts w:eastAsia="SimSun"/>
        </w:rPr>
        <w:footnoteRef/>
      </w:r>
      <w:r w:rsidRPr="00B51DC3">
        <w:tab/>
      </w:r>
      <w:r w:rsidRPr="00BE5DC2">
        <w:rPr>
          <w:rFonts w:hint="eastAsia"/>
        </w:rPr>
        <w:t>在反恐中注意保护人权问题工作组</w:t>
      </w:r>
      <w:r>
        <w:rPr>
          <w:rFonts w:hint="eastAsia"/>
        </w:rPr>
        <w:t>，</w:t>
      </w:r>
      <w:r w:rsidRPr="00BE5DC2">
        <w:rPr>
          <w:rFonts w:hint="eastAsia"/>
        </w:rPr>
        <w:t>《基本人权参考指南：拦截和搜身》</w:t>
      </w:r>
      <w:r>
        <w:rPr>
          <w:rFonts w:hint="eastAsia"/>
        </w:rPr>
        <w:t>(</w:t>
      </w:r>
      <w:r w:rsidR="0022563B">
        <w:rPr>
          <w:rFonts w:hint="eastAsia"/>
        </w:rPr>
        <w:t>2</w:t>
      </w:r>
      <w:r w:rsidRPr="00BE5DC2">
        <w:rPr>
          <w:rFonts w:hint="eastAsia"/>
        </w:rPr>
        <w:t>0</w:t>
      </w:r>
      <w:r w:rsidR="0022563B">
        <w:rPr>
          <w:rFonts w:hint="eastAsia"/>
        </w:rPr>
        <w:t>1</w:t>
      </w:r>
      <w:r w:rsidRPr="00BE5DC2">
        <w:rPr>
          <w:rFonts w:hint="eastAsia"/>
        </w:rPr>
        <w:t>0</w:t>
      </w:r>
      <w:r w:rsidRPr="00BE5DC2">
        <w:rPr>
          <w:rFonts w:hint="eastAsia"/>
        </w:rPr>
        <w:t>年</w:t>
      </w:r>
      <w:r w:rsidR="0022563B">
        <w:rPr>
          <w:rFonts w:hint="eastAsia"/>
        </w:rPr>
        <w:t>9</w:t>
      </w:r>
      <w:r w:rsidRPr="00BE5DC2">
        <w:rPr>
          <w:rFonts w:hint="eastAsia"/>
        </w:rPr>
        <w:t xml:space="preserve"> </w:t>
      </w:r>
      <w:r w:rsidRPr="00BE5DC2">
        <w:rPr>
          <w:rFonts w:hint="eastAsia"/>
        </w:rPr>
        <w:t>月</w:t>
      </w:r>
      <w:r>
        <w:rPr>
          <w:rFonts w:hint="eastAsia"/>
        </w:rPr>
        <w:t>)</w:t>
      </w:r>
      <w:r w:rsidRPr="00BE5DC2">
        <w:rPr>
          <w:rFonts w:hint="eastAsia"/>
        </w:rPr>
        <w:t>。</w:t>
      </w:r>
    </w:p>
  </w:footnote>
  <w:footnote w:id="33">
    <w:p w:rsidR="004527D5" w:rsidRPr="009421A2" w:rsidRDefault="004527D5" w:rsidP="003C70F0">
      <w:pPr>
        <w:pStyle w:val="EndnoteText"/>
      </w:pPr>
      <w:r w:rsidRPr="00B51DC3">
        <w:tab/>
      </w:r>
      <w:r>
        <w:rPr>
          <w:rFonts w:hint="eastAsia"/>
        </w:rPr>
        <w:tab/>
      </w:r>
      <w:r w:rsidRPr="006A5AF9">
        <w:rPr>
          <w:rStyle w:val="FootnoteReference"/>
          <w:rFonts w:eastAsia="SimSun"/>
        </w:rPr>
        <w:footnoteRef/>
      </w:r>
      <w:r w:rsidRPr="00B51DC3">
        <w:tab/>
      </w:r>
      <w:r>
        <w:rPr>
          <w:rFonts w:hint="eastAsia"/>
        </w:rPr>
        <w:t>《</w:t>
      </w:r>
      <w:r w:rsidRPr="00505BBD">
        <w:rPr>
          <w:rFonts w:hint="eastAsia"/>
        </w:rPr>
        <w:t>保护所有遭受任何形式拘留或监禁的人的原则</w:t>
      </w:r>
      <w:r>
        <w:rPr>
          <w:rFonts w:hint="eastAsia"/>
        </w:rPr>
        <w:t>》原则</w:t>
      </w:r>
      <w:r w:rsidR="0022563B">
        <w:rPr>
          <w:rFonts w:hint="eastAsia"/>
        </w:rPr>
        <w:t>1</w:t>
      </w:r>
      <w:r>
        <w:rPr>
          <w:rFonts w:hint="eastAsia"/>
        </w:rPr>
        <w:t>。</w:t>
      </w:r>
    </w:p>
  </w:footnote>
  <w:footnote w:id="34">
    <w:p w:rsidR="004527D5" w:rsidRPr="009D65F6" w:rsidRDefault="004527D5" w:rsidP="003C70F0">
      <w:pPr>
        <w:pStyle w:val="EndnoteText"/>
      </w:pPr>
      <w:r w:rsidRPr="00B51DC3">
        <w:tab/>
      </w:r>
      <w:r>
        <w:rPr>
          <w:rFonts w:hint="eastAsia"/>
        </w:rPr>
        <w:tab/>
      </w:r>
      <w:r w:rsidRPr="006A5AF9">
        <w:rPr>
          <w:rStyle w:val="FootnoteReference"/>
          <w:rFonts w:eastAsia="SimSun"/>
        </w:rPr>
        <w:footnoteRef/>
      </w:r>
      <w:r w:rsidRPr="00B51DC3">
        <w:tab/>
      </w:r>
      <w:r>
        <w:rPr>
          <w:rFonts w:hint="eastAsia"/>
        </w:rPr>
        <w:t>见委员会关于人身自由和安全</w:t>
      </w:r>
      <w:r w:rsidRPr="00505BBD">
        <w:rPr>
          <w:rFonts w:hint="eastAsia"/>
        </w:rPr>
        <w:t>的第</w:t>
      </w:r>
      <w:r w:rsidR="0022563B">
        <w:rPr>
          <w:rFonts w:hint="eastAsia"/>
        </w:rPr>
        <w:t>35</w:t>
      </w:r>
      <w:r w:rsidRPr="00505BBD">
        <w:rPr>
          <w:rFonts w:hint="eastAsia"/>
        </w:rPr>
        <w:t>号一般性意见</w:t>
      </w:r>
      <w:r>
        <w:rPr>
          <w:rFonts w:hint="eastAsia"/>
        </w:rPr>
        <w:t>(</w:t>
      </w:r>
      <w:r w:rsidR="0022563B">
        <w:rPr>
          <w:rFonts w:hint="eastAsia"/>
        </w:rPr>
        <w:t>2</w:t>
      </w:r>
      <w:r w:rsidRPr="00505BBD">
        <w:rPr>
          <w:rFonts w:hint="eastAsia"/>
        </w:rPr>
        <w:t>0</w:t>
      </w:r>
      <w:r w:rsidR="0022563B">
        <w:rPr>
          <w:rFonts w:hint="eastAsia"/>
        </w:rPr>
        <w:t>14</w:t>
      </w:r>
      <w:r>
        <w:rPr>
          <w:rFonts w:hint="eastAsia"/>
        </w:rPr>
        <w:t>年</w:t>
      </w:r>
      <w:r>
        <w:rPr>
          <w:rFonts w:hint="eastAsia"/>
        </w:rPr>
        <w:t>)</w:t>
      </w:r>
      <w:r w:rsidRPr="00505BBD">
        <w:rPr>
          <w:rFonts w:hint="eastAsia"/>
        </w:rPr>
        <w:t>，第</w:t>
      </w:r>
      <w:r w:rsidR="0022563B">
        <w:rPr>
          <w:rFonts w:hint="eastAsia"/>
        </w:rPr>
        <w:t>15</w:t>
      </w:r>
      <w:r w:rsidRPr="00505BBD">
        <w:rPr>
          <w:rFonts w:hint="eastAsia"/>
        </w:rPr>
        <w:t>段。</w:t>
      </w:r>
    </w:p>
  </w:footnote>
  <w:footnote w:id="35">
    <w:p w:rsidR="004527D5" w:rsidRPr="009421A2" w:rsidRDefault="004527D5" w:rsidP="003C70F0">
      <w:pPr>
        <w:pStyle w:val="EndnoteText"/>
      </w:pPr>
      <w:r w:rsidRPr="00B51DC3">
        <w:tab/>
      </w:r>
      <w:r>
        <w:rPr>
          <w:rFonts w:hint="eastAsia"/>
        </w:rPr>
        <w:tab/>
      </w:r>
      <w:r w:rsidRPr="006A5AF9">
        <w:rPr>
          <w:rStyle w:val="FootnoteReference"/>
          <w:rFonts w:eastAsia="SimSun"/>
        </w:rPr>
        <w:footnoteRef/>
      </w:r>
      <w:r w:rsidRPr="00B51DC3">
        <w:tab/>
      </w:r>
      <w:r>
        <w:rPr>
          <w:rFonts w:hint="eastAsia"/>
        </w:rPr>
        <w:t>执法人员</w:t>
      </w:r>
      <w:r w:rsidRPr="001D6F1D">
        <w:rPr>
          <w:rFonts w:hint="eastAsia"/>
        </w:rPr>
        <w:t>的行为受到人权法、《执法人员行为守则》和《执法人员使用武力和火器的基本原则》的规范。另见《有效防止和调查法外处决、任意处决和即审即决事件的原则》。</w:t>
      </w:r>
    </w:p>
  </w:footnote>
  <w:footnote w:id="36">
    <w:p w:rsidR="004527D5" w:rsidRPr="009421A2" w:rsidRDefault="004527D5" w:rsidP="003C70F0">
      <w:pPr>
        <w:pStyle w:val="EndnoteText"/>
      </w:pPr>
      <w:r w:rsidRPr="00B51DC3">
        <w:tab/>
      </w:r>
      <w:r>
        <w:rPr>
          <w:rFonts w:hint="eastAsia"/>
        </w:rPr>
        <w:tab/>
      </w:r>
      <w:r w:rsidRPr="006A5AF9">
        <w:rPr>
          <w:rStyle w:val="FootnoteReference"/>
          <w:rFonts w:eastAsia="SimSun"/>
        </w:rPr>
        <w:footnoteRef/>
      </w:r>
      <w:r w:rsidRPr="00B51DC3">
        <w:tab/>
      </w:r>
      <w:r w:rsidR="0022563B">
        <w:t>See</w:t>
      </w:r>
      <w:r>
        <w:t xml:space="preserve">, </w:t>
      </w:r>
      <w:r w:rsidR="0022563B">
        <w:t>for</w:t>
      </w:r>
      <w:r>
        <w:t xml:space="preserve"> </w:t>
      </w:r>
      <w:r w:rsidR="0022563B">
        <w:t>example</w:t>
      </w:r>
      <w:r>
        <w:t xml:space="preserve">, </w:t>
      </w:r>
      <w:r w:rsidR="0022563B">
        <w:t>Amnesty</w:t>
      </w:r>
      <w:r w:rsidRPr="009421A2">
        <w:t xml:space="preserve"> </w:t>
      </w:r>
      <w:r w:rsidR="0022563B">
        <w:t>International</w:t>
      </w:r>
      <w:r>
        <w:t xml:space="preserve">, </w:t>
      </w:r>
      <w:r w:rsidR="0022563B">
        <w:rPr>
          <w:i/>
        </w:rPr>
        <w:t>Use</w:t>
      </w:r>
      <w:r w:rsidRPr="003556B4">
        <w:rPr>
          <w:i/>
        </w:rPr>
        <w:t xml:space="preserve"> </w:t>
      </w:r>
      <w:r w:rsidR="0022563B">
        <w:rPr>
          <w:i/>
        </w:rPr>
        <w:t>of</w:t>
      </w:r>
      <w:r w:rsidRPr="003556B4">
        <w:rPr>
          <w:i/>
        </w:rPr>
        <w:t xml:space="preserve"> </w:t>
      </w:r>
      <w:r w:rsidR="0022563B">
        <w:rPr>
          <w:i/>
        </w:rPr>
        <w:t>Force:</w:t>
      </w:r>
      <w:r w:rsidRPr="003556B4">
        <w:rPr>
          <w:i/>
        </w:rPr>
        <w:t xml:space="preserve"> </w:t>
      </w:r>
      <w:r w:rsidR="0022563B">
        <w:rPr>
          <w:i/>
        </w:rPr>
        <w:t>Guidelines</w:t>
      </w:r>
      <w:r w:rsidRPr="003556B4">
        <w:rPr>
          <w:i/>
        </w:rPr>
        <w:t xml:space="preserve"> </w:t>
      </w:r>
      <w:r w:rsidR="0022563B">
        <w:rPr>
          <w:i/>
        </w:rPr>
        <w:t>for</w:t>
      </w:r>
      <w:r w:rsidRPr="003556B4">
        <w:rPr>
          <w:i/>
        </w:rPr>
        <w:t xml:space="preserve"> </w:t>
      </w:r>
      <w:r w:rsidR="0022563B">
        <w:rPr>
          <w:i/>
        </w:rPr>
        <w:t>Implementation</w:t>
      </w:r>
      <w:r w:rsidRPr="003556B4">
        <w:rPr>
          <w:i/>
        </w:rPr>
        <w:t xml:space="preserve"> </w:t>
      </w:r>
      <w:r w:rsidR="0022563B">
        <w:rPr>
          <w:i/>
        </w:rPr>
        <w:t>of</w:t>
      </w:r>
      <w:r w:rsidRPr="003556B4">
        <w:rPr>
          <w:i/>
        </w:rPr>
        <w:t xml:space="preserve"> </w:t>
      </w:r>
      <w:r w:rsidR="0022563B">
        <w:rPr>
          <w:i/>
        </w:rPr>
        <w:t>the</w:t>
      </w:r>
      <w:r w:rsidRPr="003556B4">
        <w:rPr>
          <w:i/>
        </w:rPr>
        <w:t xml:space="preserve"> </w:t>
      </w:r>
      <w:r w:rsidR="0022563B">
        <w:rPr>
          <w:i/>
        </w:rPr>
        <w:t>UN</w:t>
      </w:r>
      <w:r w:rsidRPr="003556B4">
        <w:rPr>
          <w:i/>
        </w:rPr>
        <w:t xml:space="preserve"> </w:t>
      </w:r>
      <w:r w:rsidR="0022563B">
        <w:rPr>
          <w:i/>
        </w:rPr>
        <w:t>Basic</w:t>
      </w:r>
      <w:r w:rsidRPr="003556B4">
        <w:rPr>
          <w:i/>
        </w:rPr>
        <w:t xml:space="preserve"> </w:t>
      </w:r>
      <w:r w:rsidR="0022563B">
        <w:rPr>
          <w:i/>
        </w:rPr>
        <w:t>Principles</w:t>
      </w:r>
      <w:r w:rsidRPr="003556B4">
        <w:rPr>
          <w:i/>
        </w:rPr>
        <w:t xml:space="preserve"> </w:t>
      </w:r>
      <w:r w:rsidR="0022563B">
        <w:rPr>
          <w:i/>
        </w:rPr>
        <w:t>on</w:t>
      </w:r>
      <w:r w:rsidRPr="003556B4">
        <w:rPr>
          <w:i/>
        </w:rPr>
        <w:t xml:space="preserve"> </w:t>
      </w:r>
      <w:r w:rsidR="0022563B">
        <w:rPr>
          <w:i/>
        </w:rPr>
        <w:t>the</w:t>
      </w:r>
      <w:r w:rsidRPr="003556B4">
        <w:rPr>
          <w:i/>
        </w:rPr>
        <w:t xml:space="preserve"> </w:t>
      </w:r>
      <w:r w:rsidR="0022563B">
        <w:rPr>
          <w:i/>
        </w:rPr>
        <w:t>Use</w:t>
      </w:r>
      <w:r w:rsidRPr="003556B4">
        <w:rPr>
          <w:i/>
        </w:rPr>
        <w:t xml:space="preserve"> </w:t>
      </w:r>
      <w:r w:rsidR="0022563B">
        <w:rPr>
          <w:i/>
        </w:rPr>
        <w:t>of</w:t>
      </w:r>
      <w:r w:rsidRPr="003556B4">
        <w:rPr>
          <w:i/>
        </w:rPr>
        <w:t xml:space="preserve"> </w:t>
      </w:r>
      <w:r w:rsidR="0022563B">
        <w:rPr>
          <w:i/>
        </w:rPr>
        <w:t>Force</w:t>
      </w:r>
      <w:r w:rsidRPr="003556B4">
        <w:rPr>
          <w:i/>
        </w:rPr>
        <w:t xml:space="preserve"> </w:t>
      </w:r>
      <w:r w:rsidR="0022563B">
        <w:rPr>
          <w:i/>
        </w:rPr>
        <w:t>and</w:t>
      </w:r>
      <w:r w:rsidRPr="003556B4">
        <w:rPr>
          <w:i/>
        </w:rPr>
        <w:t xml:space="preserve"> </w:t>
      </w:r>
      <w:r w:rsidR="0022563B">
        <w:rPr>
          <w:i/>
        </w:rPr>
        <w:t>Firearms</w:t>
      </w:r>
      <w:r w:rsidRPr="003556B4">
        <w:rPr>
          <w:i/>
        </w:rPr>
        <w:t xml:space="preserve"> </w:t>
      </w:r>
      <w:r w:rsidR="0022563B">
        <w:rPr>
          <w:i/>
        </w:rPr>
        <w:t>by</w:t>
      </w:r>
      <w:r w:rsidRPr="003556B4">
        <w:rPr>
          <w:i/>
        </w:rPr>
        <w:t xml:space="preserve"> </w:t>
      </w:r>
      <w:r w:rsidR="0022563B">
        <w:rPr>
          <w:i/>
        </w:rPr>
        <w:t>Law</w:t>
      </w:r>
      <w:r w:rsidRPr="003556B4">
        <w:rPr>
          <w:i/>
        </w:rPr>
        <w:t xml:space="preserve"> </w:t>
      </w:r>
      <w:r w:rsidR="0022563B">
        <w:rPr>
          <w:i/>
        </w:rPr>
        <w:t>Enforcement</w:t>
      </w:r>
      <w:r w:rsidRPr="003556B4">
        <w:rPr>
          <w:i/>
        </w:rPr>
        <w:t xml:space="preserve"> </w:t>
      </w:r>
      <w:r w:rsidR="0022563B">
        <w:rPr>
          <w:i/>
        </w:rPr>
        <w:t>Officials</w:t>
      </w:r>
      <w:r w:rsidRPr="009421A2">
        <w:t xml:space="preserve"> </w:t>
      </w:r>
      <w:r>
        <w:t>(</w:t>
      </w:r>
      <w:r w:rsidR="0022563B">
        <w:t>2</w:t>
      </w:r>
      <w:r w:rsidRPr="009421A2">
        <w:t>0</w:t>
      </w:r>
      <w:r w:rsidR="0022563B">
        <w:t>15</w:t>
      </w:r>
      <w:r>
        <w:t>)</w:t>
      </w:r>
      <w:r>
        <w:t>，</w:t>
      </w:r>
      <w:r w:rsidR="0022563B">
        <w:t>p</w:t>
      </w:r>
      <w:r w:rsidRPr="009421A2">
        <w:t xml:space="preserve">. </w:t>
      </w:r>
      <w:r w:rsidR="0022563B">
        <w:t>46</w:t>
      </w:r>
      <w:r w:rsidRPr="009421A2">
        <w:t>.</w:t>
      </w:r>
    </w:p>
  </w:footnote>
  <w:footnote w:id="37">
    <w:p w:rsidR="004527D5" w:rsidRPr="00074270" w:rsidRDefault="004527D5" w:rsidP="003C70F0">
      <w:pPr>
        <w:pStyle w:val="EndnoteText"/>
      </w:pPr>
      <w:r w:rsidRPr="00B51DC3">
        <w:tab/>
      </w:r>
      <w:r>
        <w:rPr>
          <w:rFonts w:hint="eastAsia"/>
        </w:rPr>
        <w:tab/>
      </w:r>
      <w:r w:rsidRPr="006A5AF9">
        <w:rPr>
          <w:rStyle w:val="FootnoteReference"/>
          <w:rFonts w:eastAsia="SimSun"/>
        </w:rPr>
        <w:footnoteRef/>
      </w:r>
      <w:r w:rsidRPr="00B51DC3">
        <w:tab/>
      </w:r>
      <w:r w:rsidRPr="009E5B33">
        <w:rPr>
          <w:rFonts w:hint="eastAsia"/>
        </w:rPr>
        <w:t>欧洲人权法院，</w:t>
      </w:r>
      <w:r w:rsidR="0022563B">
        <w:rPr>
          <w:rFonts w:hint="eastAsia"/>
        </w:rPr>
        <w:t>“</w:t>
      </w:r>
      <w:r w:rsidR="0022563B">
        <w:rPr>
          <w:rFonts w:hint="eastAsia"/>
        </w:rPr>
        <w:t>McCann</w:t>
      </w:r>
      <w:r w:rsidRPr="009E5B33">
        <w:rPr>
          <w:rFonts w:hint="eastAsia"/>
        </w:rPr>
        <w:t>等诉联合王国</w:t>
      </w:r>
      <w:r w:rsidR="0022563B">
        <w:rPr>
          <w:rFonts w:hint="eastAsia"/>
        </w:rPr>
        <w:t>”</w:t>
      </w:r>
      <w:r w:rsidRPr="009E5B33">
        <w:rPr>
          <w:rFonts w:hint="eastAsia"/>
        </w:rPr>
        <w:t>，第</w:t>
      </w:r>
      <w:r w:rsidR="0022563B">
        <w:rPr>
          <w:rFonts w:hint="eastAsia"/>
        </w:rPr>
        <w:t>18984</w:t>
      </w:r>
      <w:r w:rsidRPr="009E5B33">
        <w:rPr>
          <w:rFonts w:hint="eastAsia"/>
        </w:rPr>
        <w:t>/</w:t>
      </w:r>
      <w:r w:rsidR="0022563B">
        <w:rPr>
          <w:rFonts w:hint="eastAsia"/>
        </w:rPr>
        <w:t>91</w:t>
      </w:r>
      <w:r w:rsidRPr="009E5B33">
        <w:rPr>
          <w:rFonts w:hint="eastAsia"/>
        </w:rPr>
        <w:t>号申诉，</w:t>
      </w:r>
      <w:r w:rsidR="0022563B">
        <w:rPr>
          <w:rFonts w:hint="eastAsia"/>
        </w:rPr>
        <w:t>1995</w:t>
      </w:r>
      <w:r w:rsidRPr="009E5B33">
        <w:rPr>
          <w:rFonts w:hint="eastAsia"/>
        </w:rPr>
        <w:t>年</w:t>
      </w:r>
      <w:r w:rsidR="0022563B">
        <w:rPr>
          <w:rFonts w:hint="eastAsia"/>
        </w:rPr>
        <w:t>9</w:t>
      </w:r>
      <w:r w:rsidRPr="009E5B33">
        <w:rPr>
          <w:rFonts w:hint="eastAsia"/>
        </w:rPr>
        <w:t>月</w:t>
      </w:r>
      <w:r w:rsidR="0022563B">
        <w:rPr>
          <w:rFonts w:hint="eastAsia"/>
        </w:rPr>
        <w:t>27</w:t>
      </w:r>
      <w:r w:rsidRPr="009E5B33">
        <w:rPr>
          <w:rFonts w:hint="eastAsia"/>
        </w:rPr>
        <w:t>日。</w:t>
      </w:r>
    </w:p>
  </w:footnote>
  <w:footnote w:id="38">
    <w:p w:rsidR="004527D5" w:rsidRPr="009421A2" w:rsidRDefault="004527D5" w:rsidP="003C70F0">
      <w:pPr>
        <w:pStyle w:val="EndnoteText"/>
      </w:pPr>
      <w:r w:rsidRPr="00B51DC3">
        <w:tab/>
      </w:r>
      <w:r>
        <w:rPr>
          <w:rFonts w:hint="eastAsia"/>
        </w:rPr>
        <w:tab/>
      </w:r>
      <w:r w:rsidRPr="006A5AF9">
        <w:rPr>
          <w:rStyle w:val="FootnoteReference"/>
          <w:rFonts w:eastAsia="SimSun"/>
        </w:rPr>
        <w:footnoteRef/>
      </w:r>
      <w:r w:rsidRPr="00B51DC3">
        <w:tab/>
      </w:r>
      <w:r w:rsidRPr="00E069F5">
        <w:rPr>
          <w:rFonts w:hint="eastAsia"/>
        </w:rPr>
        <w:t>《基本原则》原则</w:t>
      </w:r>
      <w:r w:rsidR="0022563B">
        <w:rPr>
          <w:rFonts w:hint="eastAsia"/>
        </w:rPr>
        <w:t>2</w:t>
      </w:r>
      <w:r>
        <w:rPr>
          <w:rFonts w:hint="eastAsia"/>
        </w:rPr>
        <w:t xml:space="preserve">0, </w:t>
      </w:r>
      <w:r>
        <w:rPr>
          <w:rFonts w:hint="eastAsia"/>
        </w:rPr>
        <w:t>以及</w:t>
      </w:r>
      <w:r w:rsidRPr="00C13272">
        <w:rPr>
          <w:rFonts w:hint="eastAsia"/>
        </w:rPr>
        <w:t>欧安组织民主人权处，《准则》第</w:t>
      </w:r>
      <w:r w:rsidR="0022563B">
        <w:rPr>
          <w:rFonts w:hint="eastAsia"/>
        </w:rPr>
        <w:t>147</w:t>
      </w:r>
      <w:r w:rsidRPr="00C13272">
        <w:rPr>
          <w:rFonts w:hint="eastAsia"/>
        </w:rPr>
        <w:t>段。</w:t>
      </w:r>
    </w:p>
  </w:footnote>
  <w:footnote w:id="39">
    <w:p w:rsidR="004527D5" w:rsidRPr="009421A2" w:rsidRDefault="004527D5" w:rsidP="003C70F0">
      <w:pPr>
        <w:pStyle w:val="EndnoteText"/>
      </w:pPr>
      <w:r w:rsidRPr="00B51DC3">
        <w:tab/>
      </w:r>
      <w:r>
        <w:rPr>
          <w:rFonts w:hint="eastAsia"/>
        </w:rPr>
        <w:tab/>
      </w:r>
      <w:r w:rsidRPr="006A5AF9">
        <w:rPr>
          <w:rStyle w:val="FootnoteReference"/>
          <w:rFonts w:eastAsia="SimSun"/>
        </w:rPr>
        <w:footnoteRef/>
      </w:r>
      <w:r w:rsidRPr="00B51DC3">
        <w:tab/>
      </w:r>
      <w:r w:rsidRPr="00E069F5">
        <w:rPr>
          <w:rFonts w:hint="eastAsia"/>
        </w:rPr>
        <w:t>《基本原则》原则</w:t>
      </w:r>
      <w:r w:rsidR="0022563B">
        <w:rPr>
          <w:rFonts w:hint="eastAsia"/>
        </w:rPr>
        <w:t>19</w:t>
      </w:r>
      <w:r>
        <w:rPr>
          <w:rFonts w:hint="eastAsia"/>
        </w:rPr>
        <w:t>。</w:t>
      </w:r>
    </w:p>
  </w:footnote>
  <w:footnote w:id="40">
    <w:p w:rsidR="004527D5" w:rsidRPr="009421A2" w:rsidRDefault="004527D5" w:rsidP="003C70F0">
      <w:pPr>
        <w:pStyle w:val="EndnoteText"/>
      </w:pPr>
      <w:r w:rsidRPr="00B51DC3">
        <w:tab/>
      </w:r>
      <w:r>
        <w:rPr>
          <w:rFonts w:hint="eastAsia"/>
        </w:rPr>
        <w:tab/>
      </w:r>
      <w:r w:rsidRPr="006A5AF9">
        <w:rPr>
          <w:rStyle w:val="FootnoteReference"/>
          <w:rFonts w:eastAsia="SimSun"/>
        </w:rPr>
        <w:footnoteRef/>
      </w:r>
      <w:r w:rsidRPr="00B51DC3">
        <w:tab/>
      </w:r>
      <w:r w:rsidRPr="00F20BB5">
        <w:rPr>
          <w:rFonts w:hint="eastAsia"/>
        </w:rPr>
        <w:t>《基本原则》原则</w:t>
      </w:r>
      <w:r w:rsidR="0022563B">
        <w:rPr>
          <w:rFonts w:hint="eastAsia"/>
        </w:rPr>
        <w:t>2</w:t>
      </w:r>
      <w:r>
        <w:rPr>
          <w:rFonts w:hint="eastAsia"/>
        </w:rPr>
        <w:t>。低致命性武器可能仍然会造成致命后果或影响旁观者</w:t>
      </w:r>
      <w:r>
        <w:rPr>
          <w:rFonts w:hint="eastAsia"/>
        </w:rPr>
        <w:t>(</w:t>
      </w:r>
      <w:r>
        <w:rPr>
          <w:rFonts w:hint="eastAsia"/>
        </w:rPr>
        <w:t>见</w:t>
      </w:r>
      <w:r w:rsidRPr="00A344DB">
        <w:rPr>
          <w:rFonts w:hint="eastAsia"/>
        </w:rPr>
        <w:t>《基本原则》原则</w:t>
      </w:r>
      <w:r w:rsidR="0022563B">
        <w:rPr>
          <w:rFonts w:hint="eastAsia"/>
        </w:rPr>
        <w:t>3</w:t>
      </w:r>
      <w:r>
        <w:rPr>
          <w:rFonts w:hint="eastAsia"/>
        </w:rPr>
        <w:t>)</w:t>
      </w:r>
      <w:r>
        <w:rPr>
          <w:rFonts w:hint="eastAsia"/>
        </w:rPr>
        <w:t>。</w:t>
      </w:r>
    </w:p>
  </w:footnote>
  <w:footnote w:id="41">
    <w:p w:rsidR="004527D5" w:rsidRPr="00DA4594" w:rsidRDefault="004527D5" w:rsidP="003C70F0">
      <w:pPr>
        <w:pStyle w:val="EndnoteText"/>
      </w:pPr>
      <w:r w:rsidRPr="00B51DC3">
        <w:tab/>
      </w:r>
      <w:r>
        <w:rPr>
          <w:rFonts w:hint="eastAsia"/>
        </w:rPr>
        <w:tab/>
      </w:r>
      <w:r w:rsidRPr="006A5AF9">
        <w:rPr>
          <w:rStyle w:val="FootnoteReference"/>
          <w:rFonts w:eastAsia="SimSun"/>
        </w:rPr>
        <w:footnoteRef/>
      </w:r>
      <w:r w:rsidRPr="00B51DC3">
        <w:tab/>
      </w:r>
      <w:r w:rsidR="0022563B">
        <w:t>See</w:t>
      </w:r>
      <w:r w:rsidRPr="009421A2">
        <w:t xml:space="preserve"> </w:t>
      </w:r>
      <w:r w:rsidR="0022563B">
        <w:t>Amnesty</w:t>
      </w:r>
      <w:r w:rsidRPr="009421A2">
        <w:t xml:space="preserve"> </w:t>
      </w:r>
      <w:r w:rsidR="0022563B">
        <w:t>International</w:t>
      </w:r>
      <w:r>
        <w:t xml:space="preserve">, </w:t>
      </w:r>
      <w:r w:rsidR="0022563B">
        <w:rPr>
          <w:i/>
        </w:rPr>
        <w:t>Use</w:t>
      </w:r>
      <w:r w:rsidRPr="009421A2">
        <w:rPr>
          <w:i/>
        </w:rPr>
        <w:t xml:space="preserve"> </w:t>
      </w:r>
      <w:r w:rsidR="0022563B">
        <w:rPr>
          <w:i/>
        </w:rPr>
        <w:t>of</w:t>
      </w:r>
      <w:r w:rsidRPr="009421A2">
        <w:rPr>
          <w:i/>
        </w:rPr>
        <w:t xml:space="preserve"> </w:t>
      </w:r>
      <w:r w:rsidR="0022563B">
        <w:rPr>
          <w:i/>
        </w:rPr>
        <w:t>Force</w:t>
      </w:r>
      <w:r w:rsidRPr="009421A2">
        <w:rPr>
          <w:i/>
        </w:rPr>
        <w:t xml:space="preserve"> </w:t>
      </w:r>
      <w:r w:rsidR="0022563B">
        <w:rPr>
          <w:i/>
        </w:rPr>
        <w:t>Guidelines</w:t>
      </w:r>
      <w:r>
        <w:rPr>
          <w:i/>
        </w:rPr>
        <w:t xml:space="preserve">, </w:t>
      </w:r>
      <w:r w:rsidR="0022563B">
        <w:t>chap</w:t>
      </w:r>
      <w:r w:rsidRPr="009421A2">
        <w:t>.</w:t>
      </w:r>
      <w:r>
        <w:t xml:space="preserve"> </w:t>
      </w:r>
      <w:r w:rsidR="0022563B">
        <w:t>6</w:t>
      </w:r>
      <w:r w:rsidRPr="009421A2">
        <w:t>.</w:t>
      </w:r>
    </w:p>
  </w:footnote>
  <w:footnote w:id="42">
    <w:p w:rsidR="004527D5" w:rsidRPr="009421A2" w:rsidRDefault="004527D5" w:rsidP="003C70F0">
      <w:pPr>
        <w:pStyle w:val="EndnoteText"/>
      </w:pPr>
      <w:r w:rsidRPr="00B51DC3">
        <w:rPr>
          <w:rFonts w:eastAsia="Times New Roman"/>
        </w:rPr>
        <w:tab/>
      </w:r>
      <w:r>
        <w:rPr>
          <w:rFonts w:eastAsiaTheme="minorEastAsia" w:hint="eastAsia"/>
        </w:rPr>
        <w:tab/>
      </w:r>
      <w:r w:rsidRPr="006A5AF9">
        <w:rPr>
          <w:rStyle w:val="FootnoteReference"/>
          <w:rFonts w:eastAsia="SimSun"/>
        </w:rPr>
        <w:footnoteRef/>
      </w:r>
      <w:r w:rsidRPr="00B51DC3">
        <w:rPr>
          <w:rFonts w:eastAsia="Times New Roman"/>
        </w:rPr>
        <w:tab/>
      </w:r>
      <w:r w:rsidR="0022563B">
        <w:rPr>
          <w:rFonts w:eastAsia="Times New Roman"/>
        </w:rPr>
        <w:t>Ibid</w:t>
      </w:r>
      <w:r>
        <w:rPr>
          <w:rFonts w:eastAsia="Times New Roman"/>
        </w:rPr>
        <w:t>.</w:t>
      </w:r>
    </w:p>
  </w:footnote>
  <w:footnote w:id="43">
    <w:p w:rsidR="004527D5" w:rsidRPr="009421A2" w:rsidRDefault="004527D5" w:rsidP="003C70F0">
      <w:pPr>
        <w:pStyle w:val="EndnoteText"/>
      </w:pPr>
      <w:r w:rsidRPr="00B51DC3">
        <w:rPr>
          <w:rFonts w:eastAsia="Times New Roman"/>
        </w:rPr>
        <w:tab/>
      </w:r>
      <w:r>
        <w:rPr>
          <w:rFonts w:eastAsiaTheme="minorEastAsia" w:hint="eastAsia"/>
        </w:rPr>
        <w:tab/>
      </w:r>
      <w:r w:rsidRPr="006A5AF9">
        <w:rPr>
          <w:rStyle w:val="FootnoteReference"/>
          <w:rFonts w:eastAsia="SimSun"/>
        </w:rPr>
        <w:footnoteRef/>
      </w:r>
      <w:r w:rsidRPr="00B51DC3">
        <w:rPr>
          <w:rFonts w:eastAsia="Times New Roman"/>
        </w:rPr>
        <w:tab/>
      </w:r>
      <w:r w:rsidRPr="009E5B33">
        <w:rPr>
          <w:rFonts w:ascii="SimSun" w:hAnsi="SimSun" w:cs="SimSun" w:hint="eastAsia"/>
        </w:rPr>
        <w:t>另见非洲人权和人民权利委员会关于《非洲人权和人民权利宪章》：生命权</w:t>
      </w:r>
      <w:r w:rsidR="0022563B" w:rsidRPr="0022563B">
        <w:rPr>
          <w:rFonts w:asciiTheme="majorBidi" w:hAnsiTheme="majorBidi" w:cstheme="majorBidi"/>
        </w:rPr>
        <w:t>(</w:t>
      </w:r>
      <w:r w:rsidRPr="0022563B">
        <w:rPr>
          <w:rFonts w:asciiTheme="majorBidi" w:hAnsiTheme="majorBidi" w:cstheme="majorBidi"/>
        </w:rPr>
        <w:t>第四条</w:t>
      </w:r>
      <w:r w:rsidRPr="0022563B">
        <w:rPr>
          <w:rFonts w:asciiTheme="majorBidi" w:hAnsiTheme="majorBidi" w:cstheme="majorBidi"/>
        </w:rPr>
        <w:t>)</w:t>
      </w:r>
      <w:r w:rsidRPr="009E5B33">
        <w:rPr>
          <w:rFonts w:ascii="SimSun" w:hAnsi="SimSun" w:cs="SimSun" w:hint="eastAsia"/>
        </w:rPr>
        <w:t>的第</w:t>
      </w:r>
      <w:r w:rsidR="0022563B">
        <w:rPr>
          <w:rFonts w:eastAsia="Times New Roman" w:hint="eastAsia"/>
        </w:rPr>
        <w:t>3</w:t>
      </w:r>
      <w:r w:rsidRPr="009E5B33">
        <w:rPr>
          <w:rFonts w:ascii="SimSun" w:hAnsi="SimSun" w:cs="SimSun" w:hint="eastAsia"/>
        </w:rPr>
        <w:t>号一般性意见</w:t>
      </w:r>
      <w:r w:rsidRPr="0022563B">
        <w:t>(</w:t>
      </w:r>
      <w:r w:rsidR="0022563B" w:rsidRPr="0022563B">
        <w:rPr>
          <w:rFonts w:eastAsia="Times New Roman"/>
        </w:rPr>
        <w:t>2</w:t>
      </w:r>
      <w:r w:rsidRPr="0022563B">
        <w:rPr>
          <w:rFonts w:eastAsia="Times New Roman"/>
        </w:rPr>
        <w:t>0</w:t>
      </w:r>
      <w:r w:rsidR="0022563B" w:rsidRPr="0022563B">
        <w:rPr>
          <w:rFonts w:eastAsia="Times New Roman"/>
        </w:rPr>
        <w:t>15</w:t>
      </w:r>
      <w:r w:rsidRPr="0022563B">
        <w:t>年</w:t>
      </w:r>
      <w:r w:rsidRPr="0022563B">
        <w:t>)</w:t>
      </w:r>
      <w:r w:rsidRPr="009E5B33">
        <w:rPr>
          <w:rFonts w:ascii="SimSun" w:hAnsi="SimSun" w:cs="SimSun" w:hint="eastAsia"/>
        </w:rPr>
        <w:t>，第</w:t>
      </w:r>
      <w:r w:rsidR="0022563B">
        <w:rPr>
          <w:rFonts w:eastAsia="Times New Roman" w:hint="eastAsia"/>
        </w:rPr>
        <w:t>31</w:t>
      </w:r>
      <w:r w:rsidRPr="009E5B33">
        <w:rPr>
          <w:rFonts w:ascii="SimSun" w:hAnsi="SimSun" w:cs="SimSun" w:hint="eastAsia"/>
        </w:rPr>
        <w:t>段。</w:t>
      </w:r>
    </w:p>
  </w:footnote>
  <w:footnote w:id="44">
    <w:p w:rsidR="004527D5" w:rsidRPr="009421A2" w:rsidRDefault="004527D5" w:rsidP="003C70F0">
      <w:pPr>
        <w:pStyle w:val="EndnoteText"/>
      </w:pPr>
      <w:r w:rsidRPr="00B51DC3">
        <w:tab/>
      </w:r>
      <w:r>
        <w:rPr>
          <w:rFonts w:hint="eastAsia"/>
        </w:rPr>
        <w:tab/>
      </w:r>
      <w:r w:rsidRPr="006A5AF9">
        <w:rPr>
          <w:rStyle w:val="FootnoteReference"/>
          <w:rFonts w:eastAsia="SimSun"/>
        </w:rPr>
        <w:footnoteRef/>
      </w:r>
      <w:r w:rsidRPr="00B51DC3">
        <w:tab/>
      </w:r>
      <w:r>
        <w:rPr>
          <w:rFonts w:hint="eastAsia"/>
        </w:rPr>
        <w:t>见</w:t>
      </w:r>
      <w:r w:rsidRPr="00F66F0F">
        <w:rPr>
          <w:rFonts w:hint="eastAsia"/>
        </w:rPr>
        <w:t>《执法人员行为守则》</w:t>
      </w:r>
      <w:r>
        <w:rPr>
          <w:rFonts w:hint="eastAsia"/>
        </w:rPr>
        <w:t>第三条的评注。</w:t>
      </w:r>
    </w:p>
  </w:footnote>
  <w:footnote w:id="45">
    <w:p w:rsidR="004527D5" w:rsidRPr="009421A2" w:rsidRDefault="004527D5" w:rsidP="003C70F0">
      <w:pPr>
        <w:pStyle w:val="EndnoteText"/>
      </w:pPr>
      <w:r w:rsidRPr="00B51DC3">
        <w:tab/>
      </w:r>
      <w:r>
        <w:rPr>
          <w:rFonts w:hint="eastAsia"/>
        </w:rPr>
        <w:tab/>
      </w:r>
      <w:r w:rsidRPr="006A5AF9">
        <w:rPr>
          <w:rStyle w:val="FootnoteReference"/>
          <w:rFonts w:eastAsia="SimSun"/>
        </w:rPr>
        <w:footnoteRef/>
      </w:r>
      <w:r w:rsidRPr="00B51DC3">
        <w:tab/>
      </w:r>
      <w:r>
        <w:rPr>
          <w:rFonts w:hint="eastAsia"/>
        </w:rPr>
        <w:t>《</w:t>
      </w:r>
      <w:r>
        <w:t>基本原则</w:t>
      </w:r>
      <w:r>
        <w:rPr>
          <w:rFonts w:hint="eastAsia"/>
        </w:rPr>
        <w:t>》</w:t>
      </w:r>
      <w:r>
        <w:t>原则</w:t>
      </w:r>
      <w:r w:rsidR="0022563B">
        <w:rPr>
          <w:rFonts w:hint="eastAsia"/>
        </w:rPr>
        <w:t>9</w:t>
      </w:r>
      <w:r>
        <w:rPr>
          <w:rFonts w:hint="eastAsia"/>
        </w:rPr>
        <w:t>。</w:t>
      </w:r>
    </w:p>
  </w:footnote>
  <w:footnote w:id="46">
    <w:p w:rsidR="004527D5" w:rsidRPr="009421A2" w:rsidRDefault="004527D5" w:rsidP="003C70F0">
      <w:pPr>
        <w:pStyle w:val="EndnoteText"/>
      </w:pPr>
      <w:r w:rsidRPr="00B51DC3">
        <w:rPr>
          <w:rFonts w:eastAsia="Times New Roman"/>
        </w:rPr>
        <w:tab/>
      </w:r>
      <w:r>
        <w:rPr>
          <w:rFonts w:eastAsiaTheme="minorEastAsia" w:hint="eastAsia"/>
        </w:rPr>
        <w:tab/>
      </w:r>
      <w:r w:rsidRPr="006A5AF9">
        <w:rPr>
          <w:rStyle w:val="FootnoteReference"/>
          <w:rFonts w:eastAsia="SimSun"/>
        </w:rPr>
        <w:footnoteRef/>
      </w:r>
      <w:r w:rsidRPr="00B51DC3">
        <w:rPr>
          <w:rFonts w:eastAsia="Times New Roman"/>
        </w:rPr>
        <w:tab/>
      </w:r>
      <w:r w:rsidRPr="009E5B33">
        <w:rPr>
          <w:rFonts w:ascii="SimSun" w:hAnsi="SimSun" w:cs="SimSun" w:hint="eastAsia"/>
        </w:rPr>
        <w:t>见美洲人权委员会，《关于公民安全的报告》，第</w:t>
      </w:r>
      <w:r w:rsidR="0022563B">
        <w:rPr>
          <w:rFonts w:eastAsia="Times New Roman" w:hint="eastAsia"/>
        </w:rPr>
        <w:t>198</w:t>
      </w:r>
      <w:r w:rsidRPr="009E5B33">
        <w:rPr>
          <w:rFonts w:ascii="SimSun" w:hAnsi="SimSun" w:cs="SimSun" w:hint="eastAsia"/>
        </w:rPr>
        <w:t>段。</w:t>
      </w:r>
    </w:p>
  </w:footnote>
  <w:footnote w:id="47">
    <w:p w:rsidR="004527D5" w:rsidRPr="009421A2" w:rsidRDefault="004527D5" w:rsidP="003C70F0">
      <w:pPr>
        <w:pStyle w:val="EndnoteText"/>
      </w:pPr>
      <w:r w:rsidRPr="00B51DC3">
        <w:tab/>
      </w:r>
      <w:r>
        <w:rPr>
          <w:rFonts w:hint="eastAsia"/>
        </w:rPr>
        <w:tab/>
      </w:r>
      <w:r w:rsidRPr="006A5AF9">
        <w:rPr>
          <w:rStyle w:val="FootnoteReference"/>
          <w:rFonts w:eastAsia="SimSun"/>
        </w:rPr>
        <w:footnoteRef/>
      </w:r>
      <w:r w:rsidRPr="00B51DC3">
        <w:tab/>
      </w:r>
      <w:r>
        <w:rPr>
          <w:rFonts w:hint="eastAsia"/>
        </w:rPr>
        <w:t>见</w:t>
      </w:r>
      <w:r w:rsidRPr="00C13272">
        <w:rPr>
          <w:rFonts w:ascii="SimSun" w:hAnsi="SimSun" w:cs="SimSun" w:hint="eastAsia"/>
        </w:rPr>
        <w:t>欧安组织民主人权处，《准则》第</w:t>
      </w:r>
      <w:r w:rsidR="0022563B">
        <w:rPr>
          <w:rFonts w:hint="eastAsia"/>
        </w:rPr>
        <w:t>168</w:t>
      </w:r>
      <w:r w:rsidRPr="00C13272">
        <w:rPr>
          <w:rFonts w:ascii="SimSun" w:hAnsi="SimSun" w:cs="SimSun" w:hint="eastAsia"/>
        </w:rPr>
        <w:t>段。</w:t>
      </w:r>
    </w:p>
  </w:footnote>
  <w:footnote w:id="48">
    <w:p w:rsidR="004527D5" w:rsidRPr="009421A2" w:rsidRDefault="004527D5" w:rsidP="003C70F0">
      <w:pPr>
        <w:pStyle w:val="EndnoteText"/>
      </w:pPr>
      <w:r w:rsidRPr="00B51DC3">
        <w:tab/>
      </w:r>
      <w:r>
        <w:rPr>
          <w:rFonts w:hint="eastAsia"/>
        </w:rPr>
        <w:tab/>
      </w:r>
      <w:r w:rsidRPr="006A5AF9">
        <w:rPr>
          <w:rStyle w:val="FootnoteReference"/>
          <w:rFonts w:eastAsia="SimSun"/>
        </w:rPr>
        <w:footnoteRef/>
      </w:r>
      <w:r w:rsidRPr="00B51DC3">
        <w:tab/>
      </w:r>
      <w:r w:rsidRPr="00A344DB">
        <w:rPr>
          <w:rFonts w:hint="eastAsia"/>
        </w:rPr>
        <w:t>《基本原则》原则</w:t>
      </w:r>
      <w:r w:rsidR="0022563B">
        <w:rPr>
          <w:rFonts w:hint="eastAsia"/>
        </w:rPr>
        <w:t>22</w:t>
      </w:r>
      <w:r>
        <w:rPr>
          <w:rFonts w:hint="eastAsia"/>
        </w:rPr>
        <w:t xml:space="preserve">, </w:t>
      </w:r>
      <w:r>
        <w:rPr>
          <w:rFonts w:hint="eastAsia"/>
        </w:rPr>
        <w:t>以及《行为守则》第八条及</w:t>
      </w:r>
      <w:r w:rsidRPr="00A344DB">
        <w:rPr>
          <w:rFonts w:hint="eastAsia"/>
        </w:rPr>
        <w:t>评注。</w:t>
      </w:r>
    </w:p>
  </w:footnote>
  <w:footnote w:id="49">
    <w:p w:rsidR="004527D5" w:rsidRPr="009421A2" w:rsidRDefault="004527D5" w:rsidP="003C70F0">
      <w:pPr>
        <w:pStyle w:val="EndnoteText"/>
      </w:pPr>
      <w:r w:rsidRPr="00B51DC3">
        <w:tab/>
      </w:r>
      <w:r>
        <w:rPr>
          <w:rFonts w:hint="eastAsia"/>
        </w:rPr>
        <w:tab/>
      </w:r>
      <w:r w:rsidRPr="006A5AF9">
        <w:rPr>
          <w:rStyle w:val="FootnoteReference"/>
          <w:rFonts w:eastAsia="SimSun"/>
        </w:rPr>
        <w:footnoteRef/>
      </w:r>
      <w:r w:rsidRPr="00B51DC3">
        <w:tab/>
      </w:r>
      <w:r>
        <w:rPr>
          <w:rFonts w:hint="eastAsia"/>
        </w:rPr>
        <w:t>《基本原则》原则</w:t>
      </w:r>
      <w:r w:rsidR="0022563B">
        <w:rPr>
          <w:rFonts w:hint="eastAsia"/>
        </w:rPr>
        <w:t>24</w:t>
      </w:r>
      <w:r>
        <w:rPr>
          <w:rFonts w:hint="eastAsia"/>
        </w:rPr>
        <w:t>至</w:t>
      </w:r>
      <w:r w:rsidR="0022563B">
        <w:t>26</w:t>
      </w:r>
      <w:r>
        <w:rPr>
          <w:rFonts w:hint="eastAsia"/>
        </w:rPr>
        <w:t>。</w:t>
      </w:r>
    </w:p>
  </w:footnote>
  <w:footnote w:id="50">
    <w:p w:rsidR="004527D5" w:rsidRPr="00084B0A" w:rsidRDefault="004527D5" w:rsidP="003C70F0">
      <w:pPr>
        <w:pStyle w:val="EndnoteText"/>
      </w:pPr>
      <w:r w:rsidRPr="00B51DC3">
        <w:tab/>
      </w:r>
      <w:r>
        <w:rPr>
          <w:rFonts w:hint="eastAsia"/>
        </w:rPr>
        <w:tab/>
      </w:r>
      <w:r w:rsidRPr="006A5AF9">
        <w:rPr>
          <w:rStyle w:val="FootnoteReference"/>
          <w:rFonts w:eastAsia="SimSun"/>
        </w:rPr>
        <w:footnoteRef/>
      </w:r>
      <w:r w:rsidRPr="00B51DC3">
        <w:tab/>
      </w:r>
      <w:r>
        <w:rPr>
          <w:rFonts w:hint="eastAsia"/>
        </w:rPr>
        <w:t>《</w:t>
      </w:r>
      <w:r w:rsidRPr="00511A5D">
        <w:rPr>
          <w:rFonts w:hint="eastAsia"/>
        </w:rPr>
        <w:t>行为守则</w:t>
      </w:r>
      <w:r>
        <w:rPr>
          <w:rFonts w:hint="eastAsia"/>
        </w:rPr>
        <w:t>》第一条的评注。</w:t>
      </w:r>
    </w:p>
  </w:footnote>
  <w:footnote w:id="51">
    <w:p w:rsidR="004527D5" w:rsidRPr="006A5AF9" w:rsidRDefault="004527D5" w:rsidP="003C70F0">
      <w:pPr>
        <w:pStyle w:val="EndnoteText"/>
        <w:rPr>
          <w:rStyle w:val="FootnoteReference"/>
          <w:rFonts w:eastAsia="SimSun"/>
        </w:rPr>
      </w:pPr>
      <w:r w:rsidRPr="00B51DC3">
        <w:tab/>
      </w:r>
      <w:r>
        <w:rPr>
          <w:rFonts w:hint="eastAsia"/>
        </w:rPr>
        <w:tab/>
      </w:r>
      <w:r w:rsidRPr="006A5AF9">
        <w:rPr>
          <w:rStyle w:val="FootnoteReference"/>
          <w:rFonts w:eastAsia="SimSun"/>
        </w:rPr>
        <w:footnoteRef/>
      </w:r>
      <w:r w:rsidRPr="00D71FE9">
        <w:tab/>
      </w:r>
      <w:r w:rsidRPr="003C70F0">
        <w:rPr>
          <w:rFonts w:hint="eastAsia"/>
          <w:snapToGrid/>
        </w:rPr>
        <w:t>联合国人权事务高级专员办事处，《人权监测培训手册》</w:t>
      </w:r>
      <w:r>
        <w:rPr>
          <w:rFonts w:hint="eastAsia"/>
          <w:snapToGrid/>
        </w:rPr>
        <w:t>(</w:t>
      </w:r>
      <w:r w:rsidRPr="003C70F0">
        <w:rPr>
          <w:rFonts w:hint="eastAsia"/>
          <w:snapToGrid/>
        </w:rPr>
        <w:t>联合国出版物，出售品编号</w:t>
      </w:r>
      <w:r w:rsidR="0022563B">
        <w:rPr>
          <w:rFonts w:hint="eastAsia"/>
          <w:snapToGrid/>
        </w:rPr>
        <w:t>E</w:t>
      </w:r>
      <w:r w:rsidRPr="003C70F0">
        <w:rPr>
          <w:rFonts w:hint="eastAsia"/>
          <w:snapToGrid/>
        </w:rPr>
        <w:t>.0</w:t>
      </w:r>
      <w:r w:rsidR="0022563B">
        <w:rPr>
          <w:rFonts w:hint="eastAsia"/>
          <w:snapToGrid/>
        </w:rPr>
        <w:t>1</w:t>
      </w:r>
      <w:r w:rsidRPr="003C70F0">
        <w:rPr>
          <w:rFonts w:hint="eastAsia"/>
          <w:snapToGrid/>
        </w:rPr>
        <w:t>.</w:t>
      </w:r>
      <w:r>
        <w:rPr>
          <w:rFonts w:hint="eastAsia"/>
          <w:snapToGrid/>
        </w:rPr>
        <w:t xml:space="preserve"> </w:t>
      </w:r>
      <w:r w:rsidR="0022563B">
        <w:rPr>
          <w:rFonts w:hint="eastAsia"/>
          <w:snapToGrid/>
        </w:rPr>
        <w:t>XIV</w:t>
      </w:r>
      <w:r w:rsidRPr="003C70F0">
        <w:rPr>
          <w:rFonts w:hint="eastAsia"/>
          <w:snapToGrid/>
        </w:rPr>
        <w:t>.</w:t>
      </w:r>
      <w:r w:rsidR="0022563B">
        <w:rPr>
          <w:rFonts w:hint="eastAsia"/>
          <w:snapToGrid/>
        </w:rPr>
        <w:t>2</w:t>
      </w:r>
      <w:r>
        <w:rPr>
          <w:rFonts w:hint="eastAsia"/>
          <w:snapToGrid/>
        </w:rPr>
        <w:t>)</w:t>
      </w:r>
      <w:r w:rsidRPr="003C70F0">
        <w:rPr>
          <w:rFonts w:hint="eastAsia"/>
          <w:snapToGrid/>
        </w:rPr>
        <w:t>，第</w:t>
      </w:r>
      <w:r w:rsidR="0022563B">
        <w:rPr>
          <w:rFonts w:hint="eastAsia"/>
          <w:snapToGrid/>
        </w:rPr>
        <w:t>28</w:t>
      </w:r>
      <w:r w:rsidRPr="003C70F0">
        <w:rPr>
          <w:rFonts w:hint="eastAsia"/>
          <w:snapToGrid/>
        </w:rPr>
        <w:t>段。</w:t>
      </w:r>
    </w:p>
  </w:footnote>
  <w:footnote w:id="52">
    <w:p w:rsidR="004527D5" w:rsidRPr="006A5AF9" w:rsidRDefault="004527D5" w:rsidP="003C70F0">
      <w:pPr>
        <w:pStyle w:val="EndnoteText"/>
        <w:rPr>
          <w:rStyle w:val="FootnoteReference"/>
          <w:rFonts w:eastAsia="SimSun"/>
          <w:lang w:val="fr-FR"/>
        </w:rPr>
      </w:pPr>
      <w:r w:rsidRPr="006A5AF9">
        <w:rPr>
          <w:rStyle w:val="FootnoteReference"/>
          <w:rFonts w:eastAsia="SimSun"/>
          <w:lang w:val="fr-FR"/>
        </w:rPr>
        <w:tab/>
      </w:r>
      <w:r>
        <w:rPr>
          <w:rFonts w:hint="eastAsia"/>
          <w:lang w:val="fr-FR"/>
        </w:rPr>
        <w:tab/>
      </w:r>
      <w:r w:rsidRPr="006A5AF9">
        <w:rPr>
          <w:rStyle w:val="FootnoteReference"/>
          <w:rFonts w:eastAsia="SimSun"/>
        </w:rPr>
        <w:footnoteRef/>
      </w:r>
      <w:r w:rsidRPr="006A5AF9">
        <w:rPr>
          <w:rStyle w:val="FootnoteReference"/>
          <w:rFonts w:eastAsia="SimSun"/>
          <w:lang w:val="fr-FR"/>
        </w:rPr>
        <w:tab/>
      </w:r>
      <w:r w:rsidRPr="003C70F0">
        <w:rPr>
          <w:rFonts w:hint="eastAsia"/>
          <w:snapToGrid/>
        </w:rPr>
        <w:t>欧安组织民主人权处，《准则》第</w:t>
      </w:r>
      <w:r w:rsidR="0022563B">
        <w:rPr>
          <w:rFonts w:hint="eastAsia"/>
          <w:snapToGrid/>
        </w:rPr>
        <w:t>2</w:t>
      </w:r>
      <w:r w:rsidRPr="003C70F0">
        <w:rPr>
          <w:rFonts w:hint="eastAsia"/>
          <w:snapToGrid/>
        </w:rPr>
        <w:t>0</w:t>
      </w:r>
      <w:r w:rsidR="0022563B">
        <w:rPr>
          <w:rFonts w:hint="eastAsia"/>
          <w:snapToGrid/>
        </w:rPr>
        <w:t>1</w:t>
      </w:r>
      <w:r w:rsidRPr="003C70F0">
        <w:rPr>
          <w:rFonts w:hint="eastAsia"/>
          <w:snapToGrid/>
        </w:rPr>
        <w:t>段。</w:t>
      </w:r>
    </w:p>
  </w:footnote>
  <w:footnote w:id="53">
    <w:p w:rsidR="004527D5" w:rsidRPr="004527D5" w:rsidRDefault="004527D5" w:rsidP="003C70F0">
      <w:pPr>
        <w:pStyle w:val="EndnoteText"/>
      </w:pPr>
      <w:r w:rsidRPr="006A5AF9">
        <w:rPr>
          <w:rStyle w:val="FootnoteReference"/>
          <w:rFonts w:eastAsia="SimSun"/>
        </w:rPr>
        <w:tab/>
      </w:r>
      <w:r>
        <w:rPr>
          <w:rFonts w:hint="eastAsia"/>
        </w:rPr>
        <w:tab/>
      </w:r>
      <w:r w:rsidRPr="006A5AF9">
        <w:rPr>
          <w:rStyle w:val="FootnoteReference"/>
          <w:rFonts w:eastAsia="SimSun"/>
        </w:rPr>
        <w:footnoteRef/>
      </w:r>
      <w:r w:rsidRPr="006A5AF9">
        <w:rPr>
          <w:rStyle w:val="FootnoteReference"/>
          <w:rFonts w:eastAsia="SimSun"/>
        </w:rPr>
        <w:tab/>
      </w:r>
      <w:r w:rsidR="0022563B">
        <w:t>See</w:t>
      </w:r>
      <w:r w:rsidRPr="004527D5">
        <w:t>,</w:t>
      </w:r>
      <w:r w:rsidRPr="006A5AF9">
        <w:rPr>
          <w:rStyle w:val="FootnoteReference"/>
          <w:rFonts w:eastAsia="SimSun"/>
        </w:rPr>
        <w:t xml:space="preserve"> </w:t>
      </w:r>
      <w:r w:rsidR="0022563B">
        <w:t>for</w:t>
      </w:r>
      <w:r>
        <w:t xml:space="preserve"> </w:t>
      </w:r>
      <w:r w:rsidR="0022563B">
        <w:t>example</w:t>
      </w:r>
      <w:r>
        <w:t xml:space="preserve">, </w:t>
      </w:r>
      <w:r w:rsidR="0022563B">
        <w:rPr>
          <w:snapToGrid/>
        </w:rPr>
        <w:t>OSCE</w:t>
      </w:r>
      <w:r>
        <w:rPr>
          <w:snapToGrid/>
        </w:rPr>
        <w:t xml:space="preserve">, </w:t>
      </w:r>
      <w:r w:rsidR="0022563B">
        <w:rPr>
          <w:rFonts w:hint="eastAsia"/>
        </w:rPr>
        <w:t>“</w:t>
      </w:r>
      <w:r w:rsidR="0022563B">
        <w:rPr>
          <w:snapToGrid/>
        </w:rPr>
        <w:t>Special</w:t>
      </w:r>
      <w:r w:rsidRPr="003C70F0">
        <w:rPr>
          <w:snapToGrid/>
        </w:rPr>
        <w:t xml:space="preserve"> </w:t>
      </w:r>
      <w:proofErr w:type="spellStart"/>
      <w:r w:rsidR="0022563B">
        <w:t>r</w:t>
      </w:r>
      <w:r w:rsidR="0022563B">
        <w:rPr>
          <w:snapToGrid/>
        </w:rPr>
        <w:t>eport:</w:t>
      </w:r>
      <w:r w:rsidR="0022563B">
        <w:t>h</w:t>
      </w:r>
      <w:r w:rsidR="0022563B">
        <w:rPr>
          <w:snapToGrid/>
        </w:rPr>
        <w:t>andling</w:t>
      </w:r>
      <w:proofErr w:type="spellEnd"/>
      <w:r w:rsidRPr="003C70F0">
        <w:rPr>
          <w:snapToGrid/>
        </w:rPr>
        <w:t xml:space="preserve"> </w:t>
      </w:r>
      <w:r w:rsidR="0022563B">
        <w:rPr>
          <w:snapToGrid/>
        </w:rPr>
        <w:t>of</w:t>
      </w:r>
      <w:r w:rsidRPr="003C70F0">
        <w:rPr>
          <w:snapToGrid/>
        </w:rPr>
        <w:t xml:space="preserve"> </w:t>
      </w:r>
      <w:r w:rsidR="0022563B">
        <w:rPr>
          <w:snapToGrid/>
        </w:rPr>
        <w:t>the</w:t>
      </w:r>
      <w:r w:rsidRPr="003C70F0">
        <w:rPr>
          <w:snapToGrid/>
        </w:rPr>
        <w:t xml:space="preserve"> </w:t>
      </w:r>
      <w:r w:rsidR="0022563B">
        <w:t>m</w:t>
      </w:r>
      <w:r w:rsidR="0022563B">
        <w:rPr>
          <w:snapToGrid/>
        </w:rPr>
        <w:t>edia</w:t>
      </w:r>
      <w:r w:rsidRPr="003C70F0">
        <w:rPr>
          <w:snapToGrid/>
        </w:rPr>
        <w:t xml:space="preserve"> </w:t>
      </w:r>
      <w:r w:rsidR="0022563B">
        <w:rPr>
          <w:snapToGrid/>
        </w:rPr>
        <w:t>during</w:t>
      </w:r>
      <w:r w:rsidRPr="003C70F0">
        <w:rPr>
          <w:snapToGrid/>
        </w:rPr>
        <w:t xml:space="preserve"> </w:t>
      </w:r>
      <w:r w:rsidR="0022563B">
        <w:t>p</w:t>
      </w:r>
      <w:r w:rsidR="0022563B">
        <w:rPr>
          <w:snapToGrid/>
        </w:rPr>
        <w:t>olitical</w:t>
      </w:r>
      <w:r w:rsidRPr="003C70F0">
        <w:rPr>
          <w:snapToGrid/>
        </w:rPr>
        <w:t xml:space="preserve"> </w:t>
      </w:r>
      <w:r w:rsidR="0022563B">
        <w:t>d</w:t>
      </w:r>
      <w:r w:rsidR="0022563B">
        <w:rPr>
          <w:snapToGrid/>
        </w:rPr>
        <w:t>emonstrations</w:t>
      </w:r>
      <w:r w:rsidR="0022563B">
        <w:rPr>
          <w:rFonts w:hint="eastAsia"/>
        </w:rPr>
        <w:t>”</w:t>
      </w:r>
      <w:r w:rsidRPr="003C70F0">
        <w:rPr>
          <w:snapToGrid/>
        </w:rPr>
        <w:t xml:space="preserve"> (</w:t>
      </w:r>
      <w:r w:rsidR="0022563B">
        <w:rPr>
          <w:snapToGrid/>
        </w:rPr>
        <w:t>2</w:t>
      </w:r>
      <w:r w:rsidRPr="003C70F0">
        <w:rPr>
          <w:snapToGrid/>
        </w:rPr>
        <w:t>00</w:t>
      </w:r>
      <w:r w:rsidR="0022563B">
        <w:rPr>
          <w:snapToGrid/>
        </w:rPr>
        <w:t>7</w:t>
      </w:r>
      <w:r w:rsidRPr="003C70F0">
        <w:rPr>
          <w:snapToGrid/>
        </w:rPr>
        <w:t>).</w:t>
      </w:r>
    </w:p>
  </w:footnote>
  <w:footnote w:id="54">
    <w:p w:rsidR="004527D5" w:rsidRPr="009421A2" w:rsidRDefault="004527D5" w:rsidP="00B46406">
      <w:pPr>
        <w:pStyle w:val="EndnoteText"/>
        <w:tabs>
          <w:tab w:val="clear" w:pos="431"/>
        </w:tabs>
      </w:pPr>
      <w:r w:rsidRPr="00B51DC3">
        <w:tab/>
      </w:r>
      <w:r w:rsidRPr="006A5AF9">
        <w:rPr>
          <w:rStyle w:val="FootnoteReference"/>
          <w:rFonts w:eastAsia="SimSun"/>
        </w:rPr>
        <w:footnoteRef/>
      </w:r>
      <w:r w:rsidRPr="00B51DC3">
        <w:tab/>
      </w:r>
      <w:r>
        <w:rPr>
          <w:rFonts w:hint="eastAsia"/>
        </w:rPr>
        <w:t>见</w:t>
      </w:r>
      <w:r w:rsidRPr="004E6AF0">
        <w:rPr>
          <w:rFonts w:hint="eastAsia"/>
          <w:bCs/>
          <w:lang w:val="en-AU"/>
        </w:rPr>
        <w:t>人权事务委员会</w:t>
      </w:r>
      <w:r>
        <w:rPr>
          <w:rFonts w:hint="eastAsia"/>
          <w:bCs/>
          <w:lang w:val="en-AU"/>
        </w:rPr>
        <w:t>，关于</w:t>
      </w:r>
      <w:r w:rsidRPr="004E6AF0">
        <w:rPr>
          <w:rFonts w:hint="eastAsia"/>
          <w:bCs/>
          <w:lang w:val="en-AU"/>
        </w:rPr>
        <w:t>见解自由和言论自由</w:t>
      </w:r>
      <w:r>
        <w:rPr>
          <w:rFonts w:hint="eastAsia"/>
          <w:bCs/>
          <w:lang w:val="en-AU"/>
        </w:rPr>
        <w:t>的第</w:t>
      </w:r>
      <w:r w:rsidR="0022563B">
        <w:rPr>
          <w:rFonts w:hint="eastAsia"/>
          <w:bCs/>
          <w:lang w:val="en-AU"/>
        </w:rPr>
        <w:t>34</w:t>
      </w:r>
      <w:r w:rsidRPr="004E6AF0">
        <w:rPr>
          <w:rFonts w:hint="eastAsia"/>
          <w:bCs/>
          <w:lang w:val="en-AU"/>
        </w:rPr>
        <w:t>号一般性意见</w:t>
      </w:r>
      <w:r>
        <w:rPr>
          <w:rFonts w:hint="eastAsia"/>
          <w:bCs/>
          <w:lang w:val="en-AU"/>
        </w:rPr>
        <w:t>(</w:t>
      </w:r>
      <w:r w:rsidR="0022563B">
        <w:rPr>
          <w:rFonts w:hint="eastAsia"/>
          <w:bCs/>
          <w:lang w:val="en-AU"/>
        </w:rPr>
        <w:t>2</w:t>
      </w:r>
      <w:r>
        <w:rPr>
          <w:rFonts w:hint="eastAsia"/>
          <w:bCs/>
          <w:lang w:val="en-AU"/>
        </w:rPr>
        <w:t>0</w:t>
      </w:r>
      <w:r w:rsidR="0022563B">
        <w:rPr>
          <w:rFonts w:hint="eastAsia"/>
          <w:bCs/>
          <w:lang w:val="en-AU"/>
        </w:rPr>
        <w:t>11</w:t>
      </w:r>
      <w:r>
        <w:rPr>
          <w:rFonts w:hint="eastAsia"/>
          <w:bCs/>
          <w:lang w:val="en-AU"/>
        </w:rPr>
        <w:t>年</w:t>
      </w:r>
      <w:r>
        <w:rPr>
          <w:rFonts w:hint="eastAsia"/>
          <w:bCs/>
          <w:lang w:val="en-AU"/>
        </w:rPr>
        <w:t>)</w:t>
      </w:r>
      <w:r>
        <w:rPr>
          <w:rFonts w:hint="eastAsia"/>
          <w:bCs/>
          <w:lang w:val="en-AU"/>
        </w:rPr>
        <w:t>第</w:t>
      </w:r>
      <w:r w:rsidR="0022563B">
        <w:rPr>
          <w:rFonts w:hint="eastAsia"/>
          <w:bCs/>
          <w:lang w:val="en-AU"/>
        </w:rPr>
        <w:t>18</w:t>
      </w:r>
      <w:r>
        <w:rPr>
          <w:rFonts w:hint="eastAsia"/>
          <w:bCs/>
          <w:lang w:val="en-AU"/>
        </w:rPr>
        <w:t>段。另见《非洲言论</w:t>
      </w:r>
      <w:r w:rsidRPr="004E6AF0">
        <w:rPr>
          <w:rFonts w:hint="eastAsia"/>
          <w:bCs/>
          <w:lang w:val="en-AU"/>
        </w:rPr>
        <w:t>自由原则宣言</w:t>
      </w:r>
      <w:r>
        <w:rPr>
          <w:rFonts w:hint="eastAsia"/>
          <w:bCs/>
          <w:lang w:val="en-AU"/>
        </w:rPr>
        <w:t>》。</w:t>
      </w:r>
    </w:p>
  </w:footnote>
  <w:footnote w:id="55">
    <w:p w:rsidR="004527D5" w:rsidRPr="009421A2" w:rsidRDefault="004527D5" w:rsidP="00B46406">
      <w:pPr>
        <w:pStyle w:val="EndnoteText"/>
        <w:tabs>
          <w:tab w:val="clear" w:pos="431"/>
        </w:tabs>
      </w:pPr>
      <w:r w:rsidRPr="00B51DC3">
        <w:tab/>
      </w:r>
      <w:r w:rsidRPr="006A5AF9">
        <w:rPr>
          <w:rStyle w:val="FootnoteReference"/>
          <w:rFonts w:eastAsia="SimSun"/>
        </w:rPr>
        <w:footnoteRef/>
      </w:r>
      <w:r w:rsidRPr="00B51DC3">
        <w:tab/>
      </w:r>
      <w:r>
        <w:rPr>
          <w:rFonts w:hint="eastAsia"/>
        </w:rPr>
        <w:t>联合国</w:t>
      </w:r>
      <w:r w:rsidRPr="00503B94">
        <w:rPr>
          <w:rFonts w:hint="eastAsia"/>
        </w:rPr>
        <w:t>增进和保护见解和言论自由权问题特别报告员</w:t>
      </w:r>
      <w:r w:rsidRPr="004E6AF0">
        <w:rPr>
          <w:rFonts w:hint="eastAsia"/>
        </w:rPr>
        <w:t>、欧安组织媒体自由问题特别代表和美洲国家组织言论自由问题特别报告员</w:t>
      </w:r>
      <w:r>
        <w:rPr>
          <w:rFonts w:hint="eastAsia"/>
        </w:rPr>
        <w:t>关于获取信息问题的联合声明</w:t>
      </w:r>
      <w:r>
        <w:rPr>
          <w:rFonts w:hint="eastAsia"/>
        </w:rPr>
        <w:t>(</w:t>
      </w:r>
      <w:r w:rsidR="0022563B">
        <w:rPr>
          <w:rFonts w:hint="eastAsia"/>
        </w:rPr>
        <w:t>2</w:t>
      </w:r>
      <w:r>
        <w:rPr>
          <w:rFonts w:hint="eastAsia"/>
        </w:rPr>
        <w:t>00</w:t>
      </w:r>
      <w:r w:rsidR="0022563B">
        <w:rPr>
          <w:rFonts w:hint="eastAsia"/>
        </w:rPr>
        <w:t>4</w:t>
      </w:r>
      <w:r>
        <w:rPr>
          <w:rFonts w:hint="eastAsia"/>
        </w:rPr>
        <w:t>年</w:t>
      </w:r>
      <w:r w:rsidR="0022563B">
        <w:rPr>
          <w:rFonts w:hint="eastAsia"/>
        </w:rPr>
        <w:t>12</w:t>
      </w:r>
      <w:r>
        <w:rPr>
          <w:rFonts w:hint="eastAsia"/>
        </w:rPr>
        <w:t>月</w:t>
      </w:r>
      <w:r w:rsidR="0022563B">
        <w:rPr>
          <w:rFonts w:hint="eastAsia"/>
        </w:rPr>
        <w:t>6</w:t>
      </w:r>
      <w:r>
        <w:rPr>
          <w:rFonts w:hint="eastAsia"/>
        </w:rPr>
        <w:t>日</w:t>
      </w:r>
      <w:r>
        <w:rPr>
          <w:rFonts w:hint="eastAsia"/>
        </w:rPr>
        <w:t>)</w:t>
      </w:r>
      <w:r>
        <w:rPr>
          <w:rFonts w:hint="eastAsia"/>
        </w:rPr>
        <w:t>。</w:t>
      </w:r>
    </w:p>
  </w:footnote>
  <w:footnote w:id="56">
    <w:p w:rsidR="004527D5" w:rsidRPr="009421A2" w:rsidRDefault="004527D5" w:rsidP="00B46406">
      <w:pPr>
        <w:pStyle w:val="EndnoteText"/>
        <w:tabs>
          <w:tab w:val="clear" w:pos="431"/>
        </w:tabs>
      </w:pPr>
      <w:r w:rsidRPr="00B51DC3">
        <w:tab/>
      </w:r>
      <w:r w:rsidRPr="006A5AF9">
        <w:rPr>
          <w:rStyle w:val="FootnoteReference"/>
          <w:rFonts w:eastAsia="SimSun"/>
        </w:rPr>
        <w:footnoteRef/>
      </w:r>
      <w:r w:rsidRPr="00B51DC3">
        <w:tab/>
      </w:r>
      <w:r>
        <w:rPr>
          <w:rFonts w:hint="eastAsia"/>
        </w:rPr>
        <w:t>同上。</w:t>
      </w:r>
    </w:p>
  </w:footnote>
  <w:footnote w:id="57">
    <w:p w:rsidR="004527D5" w:rsidRPr="009421A2" w:rsidRDefault="004527D5" w:rsidP="00B46406">
      <w:pPr>
        <w:pStyle w:val="EndnoteText"/>
        <w:tabs>
          <w:tab w:val="clear" w:pos="431"/>
        </w:tabs>
      </w:pPr>
      <w:r w:rsidRPr="00B51DC3">
        <w:tab/>
      </w:r>
      <w:r w:rsidRPr="006A5AF9">
        <w:rPr>
          <w:rStyle w:val="FootnoteReference"/>
          <w:rFonts w:eastAsia="SimSun"/>
        </w:rPr>
        <w:footnoteRef/>
      </w:r>
      <w:r w:rsidRPr="00B51DC3">
        <w:tab/>
      </w:r>
      <w:r>
        <w:t>同上</w:t>
      </w:r>
      <w:r>
        <w:rPr>
          <w:rFonts w:hint="eastAsia"/>
        </w:rPr>
        <w:t>。</w:t>
      </w:r>
    </w:p>
  </w:footnote>
  <w:footnote w:id="58">
    <w:p w:rsidR="004527D5" w:rsidRPr="009421A2" w:rsidRDefault="004527D5" w:rsidP="00B46406">
      <w:pPr>
        <w:pStyle w:val="EndnoteText"/>
        <w:tabs>
          <w:tab w:val="clear" w:pos="431"/>
        </w:tabs>
      </w:pPr>
      <w:r w:rsidRPr="00B51DC3">
        <w:tab/>
      </w:r>
      <w:r w:rsidRPr="006A5AF9">
        <w:rPr>
          <w:rStyle w:val="FootnoteReference"/>
          <w:rFonts w:eastAsia="SimSun"/>
        </w:rPr>
        <w:footnoteRef/>
      </w:r>
      <w:r w:rsidRPr="00B51DC3">
        <w:tab/>
      </w:r>
      <w:r>
        <w:rPr>
          <w:rFonts w:hint="eastAsia"/>
        </w:rPr>
        <w:t>《</w:t>
      </w:r>
      <w:r w:rsidRPr="0089654A">
        <w:rPr>
          <w:rFonts w:hint="eastAsia"/>
        </w:rPr>
        <w:t>工商企业与人权：实施联合国</w:t>
      </w:r>
      <w:r w:rsidR="0022563B">
        <w:rPr>
          <w:rFonts w:hint="eastAsia"/>
        </w:rPr>
        <w:t>“</w:t>
      </w:r>
      <w:r w:rsidRPr="0089654A">
        <w:rPr>
          <w:rFonts w:hint="eastAsia"/>
        </w:rPr>
        <w:t>保护、尊重和补救</w:t>
      </w:r>
      <w:r w:rsidR="0022563B">
        <w:rPr>
          <w:rFonts w:hint="eastAsia"/>
        </w:rPr>
        <w:t>”</w:t>
      </w:r>
      <w:r w:rsidRPr="0089654A">
        <w:rPr>
          <w:rFonts w:hint="eastAsia"/>
        </w:rPr>
        <w:t>框架指导原则</w:t>
      </w:r>
      <w:r>
        <w:rPr>
          <w:rFonts w:hint="eastAsia"/>
        </w:rPr>
        <w:t>》</w:t>
      </w:r>
      <w:r w:rsidRPr="0089654A">
        <w:t>(</w:t>
      </w:r>
      <w:r w:rsidR="0022563B">
        <w:t>A</w:t>
      </w:r>
      <w:r w:rsidRPr="0089654A">
        <w:t>/</w:t>
      </w:r>
      <w:r w:rsidR="0022563B">
        <w:t>HRC</w:t>
      </w:r>
      <w:r w:rsidRPr="0089654A">
        <w:t>/</w:t>
      </w:r>
      <w:r w:rsidR="0022563B">
        <w:t>17</w:t>
      </w:r>
      <w:r w:rsidRPr="0089654A">
        <w:t>/</w:t>
      </w:r>
      <w:r w:rsidR="0022563B">
        <w:t>31</w:t>
      </w:r>
      <w:r w:rsidRPr="0089654A">
        <w:t>)</w:t>
      </w:r>
      <w:r>
        <w:t>附件</w:t>
      </w:r>
      <w:r>
        <w:rPr>
          <w:rFonts w:hint="eastAsia"/>
        </w:rPr>
        <w:t>，</w:t>
      </w:r>
      <w:r>
        <w:t>原则</w:t>
      </w:r>
      <w:r w:rsidR="0022563B">
        <w:rPr>
          <w:rFonts w:hint="eastAsia"/>
        </w:rPr>
        <w:t>11</w:t>
      </w:r>
      <w:r>
        <w:rPr>
          <w:rFonts w:hint="eastAsia"/>
        </w:rPr>
        <w:t>和</w:t>
      </w:r>
      <w:r w:rsidR="0022563B">
        <w:rPr>
          <w:rFonts w:hint="eastAsia"/>
        </w:rPr>
        <w:t>13</w:t>
      </w:r>
      <w:r w:rsidRPr="0089654A">
        <w:t>(</w:t>
      </w:r>
      <w:r w:rsidR="0022563B">
        <w:t>a</w:t>
      </w:r>
      <w:r w:rsidRPr="0089654A">
        <w:t>)</w:t>
      </w:r>
      <w:r>
        <w:rPr>
          <w:rFonts w:hint="eastAsia"/>
        </w:rPr>
        <w:t>。</w:t>
      </w:r>
    </w:p>
  </w:footnote>
  <w:footnote w:id="59">
    <w:p w:rsidR="004527D5" w:rsidRPr="001E5BCE" w:rsidRDefault="004527D5" w:rsidP="00B46406">
      <w:pPr>
        <w:pStyle w:val="EndnoteText"/>
        <w:tabs>
          <w:tab w:val="clear" w:pos="431"/>
        </w:tabs>
        <w:rPr>
          <w:lang w:val="es-AR"/>
        </w:rPr>
      </w:pPr>
      <w:r w:rsidRPr="00B51DC3">
        <w:tab/>
      </w:r>
      <w:r w:rsidRPr="006A5AF9">
        <w:rPr>
          <w:rStyle w:val="FootnoteReference"/>
          <w:rFonts w:eastAsia="SimSun"/>
        </w:rPr>
        <w:footnoteRef/>
      </w:r>
      <w:r w:rsidRPr="00D71FE9">
        <w:rPr>
          <w:lang w:val="es-AR"/>
        </w:rPr>
        <w:tab/>
      </w:r>
      <w:r w:rsidR="0022563B">
        <w:rPr>
          <w:rFonts w:hint="eastAsia"/>
          <w:lang w:val="es-AR"/>
        </w:rPr>
        <w:t>“</w:t>
      </w:r>
      <w:proofErr w:type="spellStart"/>
      <w:r w:rsidR="0022563B">
        <w:rPr>
          <w:lang w:val="es-AR"/>
        </w:rPr>
        <w:t>Plattform</w:t>
      </w:r>
      <w:proofErr w:type="spellEnd"/>
      <w:r w:rsidRPr="00BE5DC2">
        <w:rPr>
          <w:lang w:val="es-AR"/>
        </w:rPr>
        <w:t xml:space="preserve"> </w:t>
      </w:r>
      <w:proofErr w:type="spellStart"/>
      <w:r w:rsidRPr="00BE5DC2">
        <w:rPr>
          <w:lang w:val="es-AR"/>
        </w:rPr>
        <w:t>Ä</w:t>
      </w:r>
      <w:r w:rsidR="0022563B">
        <w:rPr>
          <w:lang w:val="es-AR"/>
        </w:rPr>
        <w:t>rtze</w:t>
      </w:r>
      <w:proofErr w:type="spellEnd"/>
      <w:r w:rsidRPr="00BE5DC2">
        <w:rPr>
          <w:lang w:val="es-AR"/>
        </w:rPr>
        <w:t xml:space="preserve"> </w:t>
      </w:r>
      <w:proofErr w:type="spellStart"/>
      <w:r w:rsidR="0022563B">
        <w:rPr>
          <w:lang w:val="es-AR"/>
        </w:rPr>
        <w:t>f</w:t>
      </w:r>
      <w:r w:rsidRPr="00BE5DC2">
        <w:rPr>
          <w:lang w:val="es-AR"/>
        </w:rPr>
        <w:t>ü</w:t>
      </w:r>
      <w:r w:rsidR="0022563B">
        <w:rPr>
          <w:lang w:val="es-AR"/>
        </w:rPr>
        <w:t>r</w:t>
      </w:r>
      <w:proofErr w:type="spellEnd"/>
      <w:r w:rsidRPr="00BE5DC2">
        <w:rPr>
          <w:lang w:val="es-AR"/>
        </w:rPr>
        <w:t xml:space="preserve"> </w:t>
      </w:r>
      <w:r w:rsidR="0022563B">
        <w:rPr>
          <w:lang w:val="es-AR"/>
        </w:rPr>
        <w:t>das</w:t>
      </w:r>
      <w:r w:rsidRPr="00BE5DC2">
        <w:rPr>
          <w:lang w:val="es-AR"/>
        </w:rPr>
        <w:t xml:space="preserve"> </w:t>
      </w:r>
      <w:proofErr w:type="spellStart"/>
      <w:r w:rsidR="0022563B">
        <w:rPr>
          <w:lang w:val="es-AR"/>
        </w:rPr>
        <w:t>Leben</w:t>
      </w:r>
      <w:proofErr w:type="spellEnd"/>
      <w:r w:rsidRPr="00BE5DC2">
        <w:rPr>
          <w:lang w:val="es-AR"/>
        </w:rPr>
        <w:t>诉奥地利</w:t>
      </w:r>
      <w:r w:rsidR="0022563B">
        <w:rPr>
          <w:rFonts w:hint="eastAsia"/>
          <w:lang w:val="es-AR"/>
        </w:rPr>
        <w:t>”</w:t>
      </w:r>
      <w:r w:rsidRPr="00BE5DC2">
        <w:rPr>
          <w:rFonts w:hint="eastAsia"/>
          <w:lang w:val="es-AR"/>
        </w:rPr>
        <w:t>，</w:t>
      </w:r>
      <w:r w:rsidRPr="00BE5DC2">
        <w:rPr>
          <w:lang w:val="es-AR"/>
        </w:rPr>
        <w:t>第</w:t>
      </w:r>
      <w:r w:rsidR="0022563B">
        <w:rPr>
          <w:lang w:val="es-AR"/>
        </w:rPr>
        <w:t>32</w:t>
      </w:r>
      <w:r w:rsidRPr="00BE5DC2">
        <w:rPr>
          <w:lang w:val="es-AR"/>
        </w:rPr>
        <w:t>段</w:t>
      </w:r>
      <w:r w:rsidRPr="00BE5DC2">
        <w:rPr>
          <w:rFonts w:hint="eastAsia"/>
          <w:lang w:val="es-AR"/>
        </w:rPr>
        <w:t>。</w:t>
      </w:r>
    </w:p>
  </w:footnote>
  <w:footnote w:id="60">
    <w:p w:rsidR="004527D5" w:rsidRPr="001E5BCE" w:rsidRDefault="004527D5" w:rsidP="00B46406">
      <w:pPr>
        <w:pStyle w:val="EndnoteText"/>
        <w:tabs>
          <w:tab w:val="clear" w:pos="431"/>
        </w:tabs>
        <w:rPr>
          <w:lang w:val="es-AR"/>
        </w:rPr>
      </w:pPr>
      <w:r w:rsidRPr="001E5BCE">
        <w:rPr>
          <w:lang w:val="es-AR"/>
        </w:rPr>
        <w:tab/>
      </w:r>
      <w:r w:rsidRPr="006A5AF9">
        <w:rPr>
          <w:rStyle w:val="FootnoteReference"/>
          <w:rFonts w:eastAsia="SimSun"/>
        </w:rPr>
        <w:footnoteRef/>
      </w:r>
      <w:r w:rsidRPr="001E5BCE">
        <w:rPr>
          <w:lang w:val="es-AR"/>
        </w:rPr>
        <w:tab/>
      </w:r>
      <w:r>
        <w:rPr>
          <w:rFonts w:hint="eastAsia"/>
        </w:rPr>
        <w:t>见</w:t>
      </w:r>
      <w:r w:rsidRPr="0089654A">
        <w:rPr>
          <w:rFonts w:hint="eastAsia"/>
        </w:rPr>
        <w:t>《工商企业与人权指导原则》</w:t>
      </w:r>
      <w:r>
        <w:rPr>
          <w:rFonts w:hint="eastAsia"/>
        </w:rPr>
        <w:t>原则</w:t>
      </w:r>
      <w:r w:rsidR="0022563B">
        <w:rPr>
          <w:rFonts w:hint="eastAsia"/>
          <w:lang w:val="es-AR"/>
        </w:rPr>
        <w:t>17</w:t>
      </w:r>
      <w:r w:rsidRPr="001E5BCE">
        <w:rPr>
          <w:rFonts w:hint="eastAsia"/>
          <w:lang w:val="es-AR"/>
        </w:rPr>
        <w:t>-</w:t>
      </w:r>
      <w:r w:rsidR="0022563B">
        <w:rPr>
          <w:lang w:val="es-AR"/>
        </w:rPr>
        <w:t>21</w:t>
      </w:r>
      <w:r>
        <w:rPr>
          <w:rFonts w:hint="eastAsia"/>
        </w:rPr>
        <w:t>。</w:t>
      </w:r>
    </w:p>
  </w:footnote>
  <w:footnote w:id="61">
    <w:p w:rsidR="004527D5" w:rsidRPr="001E5BCE" w:rsidRDefault="004527D5" w:rsidP="00B46406">
      <w:pPr>
        <w:pStyle w:val="EndnoteText"/>
        <w:tabs>
          <w:tab w:val="clear" w:pos="431"/>
        </w:tabs>
        <w:rPr>
          <w:lang w:val="es-AR"/>
        </w:rPr>
      </w:pPr>
      <w:r w:rsidRPr="001E5BCE">
        <w:rPr>
          <w:lang w:val="es-AR"/>
        </w:rPr>
        <w:tab/>
      </w:r>
      <w:r w:rsidRPr="006A5AF9">
        <w:rPr>
          <w:rStyle w:val="FootnoteReference"/>
          <w:rFonts w:eastAsia="SimSun"/>
        </w:rPr>
        <w:footnoteRef/>
      </w:r>
      <w:r w:rsidRPr="001E5BCE">
        <w:rPr>
          <w:lang w:val="es-AR"/>
        </w:rPr>
        <w:tab/>
      </w:r>
      <w:r w:rsidRPr="00504E89">
        <w:rPr>
          <w:rFonts w:hint="eastAsia"/>
        </w:rPr>
        <w:t>见《工商企业与人权指导原则》</w:t>
      </w:r>
      <w:r>
        <w:rPr>
          <w:rFonts w:hint="eastAsia"/>
        </w:rPr>
        <w:t>以及</w:t>
      </w:r>
      <w:r w:rsidRPr="00504E89">
        <w:rPr>
          <w:rFonts w:hint="eastAsia"/>
        </w:rPr>
        <w:t>联合国毒品和犯罪问题办公室</w:t>
      </w:r>
      <w:r>
        <w:rPr>
          <w:rFonts w:hint="eastAsia"/>
        </w:rPr>
        <w:t>《</w:t>
      </w:r>
      <w:r w:rsidRPr="00504E89">
        <w:rPr>
          <w:rFonts w:hint="eastAsia"/>
        </w:rPr>
        <w:t>关于对民间私营保安服务的国家监管及其对预防犯罪和社区安全的贡献</w:t>
      </w:r>
      <w:r>
        <w:rPr>
          <w:rFonts w:hint="eastAsia"/>
        </w:rPr>
        <w:t>》</w:t>
      </w:r>
      <w:r>
        <w:rPr>
          <w:rFonts w:hint="eastAsia"/>
          <w:lang w:val="es-AR"/>
        </w:rPr>
        <w:t>(</w:t>
      </w:r>
      <w:r w:rsidR="0022563B">
        <w:rPr>
          <w:rFonts w:hint="eastAsia"/>
          <w:lang w:val="es-AR"/>
        </w:rPr>
        <w:t>2</w:t>
      </w:r>
      <w:r w:rsidRPr="001E5BCE">
        <w:rPr>
          <w:rFonts w:hint="eastAsia"/>
          <w:lang w:val="es-AR"/>
        </w:rPr>
        <w:t>0</w:t>
      </w:r>
      <w:r w:rsidR="0022563B">
        <w:rPr>
          <w:rFonts w:hint="eastAsia"/>
          <w:lang w:val="es-AR"/>
        </w:rPr>
        <w:t>14</w:t>
      </w:r>
      <w:r>
        <w:rPr>
          <w:rFonts w:hint="eastAsia"/>
        </w:rPr>
        <w:t>年</w:t>
      </w:r>
      <w:r>
        <w:rPr>
          <w:rFonts w:hint="eastAsia"/>
          <w:lang w:val="es-AR"/>
        </w:rPr>
        <w:t>)</w:t>
      </w:r>
      <w:r>
        <w:rPr>
          <w:rFonts w:hint="eastAsia"/>
        </w:rPr>
        <w:t>。</w:t>
      </w:r>
    </w:p>
  </w:footnote>
  <w:footnote w:id="62">
    <w:p w:rsidR="004527D5" w:rsidRPr="009421A2" w:rsidRDefault="004527D5" w:rsidP="00B46406">
      <w:pPr>
        <w:pStyle w:val="EndnoteText"/>
        <w:tabs>
          <w:tab w:val="clear" w:pos="431"/>
        </w:tabs>
      </w:pPr>
      <w:r w:rsidRPr="001E5BCE">
        <w:rPr>
          <w:lang w:val="es-AR"/>
        </w:rPr>
        <w:tab/>
      </w:r>
      <w:r w:rsidRPr="006A5AF9">
        <w:rPr>
          <w:rStyle w:val="FootnoteReference"/>
          <w:rFonts w:eastAsia="SimSun"/>
        </w:rPr>
        <w:footnoteRef/>
      </w:r>
      <w:r w:rsidRPr="00B51DC3">
        <w:tab/>
      </w:r>
      <w:r w:rsidR="0022563B">
        <w:t>See</w:t>
      </w:r>
      <w:r>
        <w:t xml:space="preserve">, </w:t>
      </w:r>
      <w:r w:rsidR="0022563B">
        <w:t>for</w:t>
      </w:r>
      <w:r>
        <w:t xml:space="preserve"> </w:t>
      </w:r>
      <w:r w:rsidR="0022563B">
        <w:t>example</w:t>
      </w:r>
      <w:r>
        <w:t xml:space="preserve">, </w:t>
      </w:r>
      <w:r w:rsidR="0022563B">
        <w:t>the</w:t>
      </w:r>
      <w:r>
        <w:t xml:space="preserve"> </w:t>
      </w:r>
      <w:r w:rsidR="0022563B">
        <w:t>Voluntary</w:t>
      </w:r>
      <w:r w:rsidRPr="00D71FE9">
        <w:t xml:space="preserve"> </w:t>
      </w:r>
      <w:r w:rsidR="0022563B">
        <w:t>Principles</w:t>
      </w:r>
      <w:r w:rsidRPr="00D71FE9">
        <w:t xml:space="preserve"> </w:t>
      </w:r>
      <w:r w:rsidR="0022563B">
        <w:t>on</w:t>
      </w:r>
      <w:r w:rsidRPr="00D71FE9">
        <w:t xml:space="preserve"> </w:t>
      </w:r>
      <w:r w:rsidR="0022563B">
        <w:t>Security</w:t>
      </w:r>
      <w:r w:rsidRPr="00D71FE9">
        <w:t xml:space="preserve"> </w:t>
      </w:r>
      <w:r w:rsidR="0022563B">
        <w:t>and</w:t>
      </w:r>
      <w:r w:rsidRPr="00D71FE9">
        <w:t xml:space="preserve"> </w:t>
      </w:r>
      <w:r w:rsidR="0022563B">
        <w:t>Human</w:t>
      </w:r>
      <w:r w:rsidRPr="00D71FE9">
        <w:t xml:space="preserve"> </w:t>
      </w:r>
      <w:r w:rsidR="0022563B">
        <w:t>Rights</w:t>
      </w:r>
      <w:r w:rsidRPr="009421A2">
        <w:t xml:space="preserve"> (</w:t>
      </w:r>
      <w:r w:rsidR="0022563B">
        <w:t>2</w:t>
      </w:r>
      <w:r w:rsidRPr="009421A2">
        <w:t>000)</w:t>
      </w:r>
      <w:r>
        <w:t>，</w:t>
      </w:r>
      <w:r w:rsidR="0022563B">
        <w:t>available</w:t>
      </w:r>
      <w:r>
        <w:t xml:space="preserve"> </w:t>
      </w:r>
      <w:r w:rsidR="0022563B">
        <w:t>from</w:t>
      </w:r>
      <w:r>
        <w:t xml:space="preserve"> </w:t>
      </w:r>
      <w:r w:rsidR="0022563B">
        <w:t>www</w:t>
      </w:r>
      <w:r>
        <w:t>.</w:t>
      </w:r>
      <w:r w:rsidR="0022563B">
        <w:t>voluntaryprinciples</w:t>
      </w:r>
      <w:r>
        <w:t>.</w:t>
      </w:r>
      <w:r w:rsidR="0022563B">
        <w:t>org</w:t>
      </w:r>
      <w:r>
        <w:t>/.</w:t>
      </w:r>
    </w:p>
  </w:footnote>
  <w:footnote w:id="63">
    <w:p w:rsidR="004527D5" w:rsidRPr="00B52D6F" w:rsidRDefault="004527D5" w:rsidP="00B46406">
      <w:pPr>
        <w:pStyle w:val="EndnoteText"/>
        <w:tabs>
          <w:tab w:val="clear" w:pos="431"/>
        </w:tabs>
      </w:pPr>
      <w:r w:rsidRPr="00B51DC3">
        <w:tab/>
      </w:r>
      <w:r w:rsidRPr="006A5AF9">
        <w:rPr>
          <w:rStyle w:val="FootnoteReference"/>
          <w:rFonts w:eastAsia="SimSun"/>
        </w:rPr>
        <w:footnoteRef/>
      </w:r>
      <w:r w:rsidRPr="00EC3FB4">
        <w:tab/>
      </w:r>
      <w:r>
        <w:t>见人权事务委员会</w:t>
      </w:r>
      <w:r>
        <w:rPr>
          <w:rFonts w:hint="eastAsia"/>
        </w:rPr>
        <w:t>，《</w:t>
      </w:r>
      <w:r>
        <w:t>第</w:t>
      </w:r>
      <w:r w:rsidR="0022563B">
        <w:rPr>
          <w:rFonts w:hint="eastAsia"/>
        </w:rPr>
        <w:t>31</w:t>
      </w:r>
      <w:r>
        <w:rPr>
          <w:rFonts w:hint="eastAsia"/>
        </w:rPr>
        <w:t>号一般性意见》第</w:t>
      </w:r>
      <w:r w:rsidR="0022563B">
        <w:rPr>
          <w:rFonts w:hint="eastAsia"/>
        </w:rPr>
        <w:t>15</w:t>
      </w:r>
      <w:r>
        <w:rPr>
          <w:rFonts w:hint="eastAsia"/>
        </w:rPr>
        <w:t>段。另见《</w:t>
      </w:r>
      <w:r w:rsidRPr="004067B1">
        <w:rPr>
          <w:rFonts w:hint="eastAsia"/>
        </w:rPr>
        <w:t>严重违反国际人权法和严重违反国际人道主义法行为受害人获得补救和赔偿的权利基本原则和准则</w:t>
      </w:r>
      <w:r>
        <w:rPr>
          <w:rFonts w:hint="eastAsia"/>
        </w:rPr>
        <w:t>》。</w:t>
      </w:r>
    </w:p>
  </w:footnote>
  <w:footnote w:id="64">
    <w:p w:rsidR="004527D5" w:rsidRPr="009421A2" w:rsidRDefault="004527D5" w:rsidP="00B46406">
      <w:pPr>
        <w:pStyle w:val="EndnoteText"/>
        <w:tabs>
          <w:tab w:val="clear" w:pos="431"/>
        </w:tabs>
      </w:pPr>
      <w:r w:rsidRPr="00B51DC3">
        <w:tab/>
      </w:r>
      <w:r w:rsidRPr="006A5AF9">
        <w:rPr>
          <w:rStyle w:val="FootnoteReference"/>
          <w:rFonts w:eastAsia="SimSun"/>
        </w:rPr>
        <w:footnoteRef/>
      </w:r>
      <w:r w:rsidRPr="00B51DC3">
        <w:tab/>
      </w:r>
      <w:r w:rsidR="0022563B">
        <w:rPr>
          <w:rFonts w:hint="eastAsia"/>
        </w:rPr>
        <w:t>“</w:t>
      </w:r>
      <w:r w:rsidR="0022563B">
        <w:rPr>
          <w:rFonts w:hint="eastAsia"/>
        </w:rPr>
        <w:t>McCann</w:t>
      </w:r>
      <w:r w:rsidRPr="009E5B33">
        <w:rPr>
          <w:rFonts w:hint="eastAsia"/>
        </w:rPr>
        <w:t>等诉联合王国</w:t>
      </w:r>
      <w:r w:rsidR="0022563B">
        <w:rPr>
          <w:rFonts w:hint="eastAsia"/>
        </w:rPr>
        <w:t>”</w:t>
      </w:r>
      <w:r w:rsidRPr="009E5B33">
        <w:rPr>
          <w:rFonts w:hint="eastAsia"/>
        </w:rPr>
        <w:t>。</w:t>
      </w:r>
    </w:p>
  </w:footnote>
  <w:footnote w:id="65">
    <w:p w:rsidR="004527D5" w:rsidRPr="00D71FE9" w:rsidRDefault="004527D5" w:rsidP="00B46406">
      <w:pPr>
        <w:pStyle w:val="EndnoteText"/>
        <w:tabs>
          <w:tab w:val="clear" w:pos="431"/>
        </w:tabs>
        <w:rPr>
          <w:lang w:val="en-GB"/>
        </w:rPr>
      </w:pPr>
      <w:r>
        <w:tab/>
      </w:r>
      <w:r w:rsidRPr="006A5AF9">
        <w:rPr>
          <w:rStyle w:val="FootnoteReference"/>
          <w:rFonts w:eastAsia="SimSun"/>
        </w:rPr>
        <w:footnoteRef/>
      </w:r>
      <w:r>
        <w:tab/>
      </w:r>
      <w:r w:rsidRPr="009E5B33">
        <w:rPr>
          <w:rFonts w:hint="eastAsia"/>
        </w:rPr>
        <w:t>欧洲人权法院，</w:t>
      </w:r>
      <w:r w:rsidR="0022563B">
        <w:rPr>
          <w:rFonts w:hint="eastAsia"/>
        </w:rPr>
        <w:t>“</w:t>
      </w:r>
      <w:proofErr w:type="spellStart"/>
      <w:r w:rsidR="0022563B">
        <w:rPr>
          <w:rFonts w:hint="eastAsia"/>
        </w:rPr>
        <w:t>Isayeva</w:t>
      </w:r>
      <w:proofErr w:type="spellEnd"/>
      <w:r w:rsidRPr="009E5B33">
        <w:rPr>
          <w:rFonts w:hint="eastAsia"/>
        </w:rPr>
        <w:t>诉俄罗斯</w:t>
      </w:r>
      <w:r w:rsidR="0022563B">
        <w:rPr>
          <w:rFonts w:hint="eastAsia"/>
        </w:rPr>
        <w:t>”</w:t>
      </w:r>
      <w:r w:rsidRPr="009E5B33">
        <w:rPr>
          <w:rFonts w:hint="eastAsia"/>
        </w:rPr>
        <w:t>，第</w:t>
      </w:r>
      <w:r w:rsidR="0022563B">
        <w:rPr>
          <w:rFonts w:hint="eastAsia"/>
        </w:rPr>
        <w:t>5795</w:t>
      </w:r>
      <w:r w:rsidRPr="009E5B33">
        <w:rPr>
          <w:rFonts w:hint="eastAsia"/>
        </w:rPr>
        <w:t>0/00</w:t>
      </w:r>
      <w:r w:rsidRPr="009E5B33">
        <w:rPr>
          <w:rFonts w:hint="eastAsia"/>
        </w:rPr>
        <w:t>号申诉，</w:t>
      </w:r>
      <w:r w:rsidR="0022563B">
        <w:rPr>
          <w:rFonts w:hint="eastAsia"/>
        </w:rPr>
        <w:t>2</w:t>
      </w:r>
      <w:r w:rsidRPr="009E5B33">
        <w:rPr>
          <w:rFonts w:hint="eastAsia"/>
        </w:rPr>
        <w:t>00</w:t>
      </w:r>
      <w:r w:rsidR="0022563B">
        <w:rPr>
          <w:rFonts w:hint="eastAsia"/>
        </w:rPr>
        <w:t>5</w:t>
      </w:r>
      <w:r w:rsidRPr="009E5B33">
        <w:rPr>
          <w:rFonts w:hint="eastAsia"/>
        </w:rPr>
        <w:t>年</w:t>
      </w:r>
      <w:r w:rsidR="0022563B">
        <w:rPr>
          <w:rFonts w:hint="eastAsia"/>
        </w:rPr>
        <w:t>2</w:t>
      </w:r>
      <w:r w:rsidRPr="009E5B33">
        <w:rPr>
          <w:rFonts w:hint="eastAsia"/>
        </w:rPr>
        <w:t>月</w:t>
      </w:r>
      <w:r w:rsidR="0022563B">
        <w:rPr>
          <w:rFonts w:hint="eastAsia"/>
        </w:rPr>
        <w:t>24</w:t>
      </w:r>
      <w:r w:rsidRPr="009E5B33">
        <w:rPr>
          <w:rFonts w:hint="eastAsia"/>
        </w:rPr>
        <w:t>日</w:t>
      </w:r>
      <w:r>
        <w:rPr>
          <w:rFonts w:hint="eastAsia"/>
        </w:rPr>
        <w:t>。另见</w:t>
      </w:r>
      <w:r w:rsidR="0022563B">
        <w:rPr>
          <w:lang w:val="en-GB"/>
        </w:rPr>
        <w:t>A</w:t>
      </w:r>
      <w:r>
        <w:rPr>
          <w:lang w:val="en-GB"/>
        </w:rPr>
        <w:t>/</w:t>
      </w:r>
      <w:r w:rsidR="0022563B">
        <w:rPr>
          <w:lang w:val="en-GB"/>
        </w:rPr>
        <w:t>HRC</w:t>
      </w:r>
      <w:r>
        <w:rPr>
          <w:lang w:val="en-GB"/>
        </w:rPr>
        <w:t>/</w:t>
      </w:r>
      <w:r w:rsidR="0022563B">
        <w:rPr>
          <w:lang w:val="en-GB"/>
        </w:rPr>
        <w:t>26</w:t>
      </w:r>
      <w:r>
        <w:rPr>
          <w:lang w:val="en-GB"/>
        </w:rPr>
        <w:t>/</w:t>
      </w:r>
      <w:r w:rsidR="0022563B">
        <w:rPr>
          <w:lang w:val="en-GB"/>
        </w:rPr>
        <w:t>36</w:t>
      </w:r>
      <w:r>
        <w:rPr>
          <w:lang w:val="en-GB"/>
        </w:rPr>
        <w:t>,</w:t>
      </w:r>
      <w:r w:rsidR="00B46406">
        <w:rPr>
          <w:rFonts w:hint="eastAsia"/>
          <w:lang w:val="en-GB"/>
        </w:rPr>
        <w:t xml:space="preserve"> </w:t>
      </w:r>
      <w:r>
        <w:rPr>
          <w:lang w:val="en-GB"/>
        </w:rPr>
        <w:t>第</w:t>
      </w:r>
      <w:r w:rsidR="0022563B">
        <w:rPr>
          <w:lang w:val="en-GB"/>
        </w:rPr>
        <w:t>8</w:t>
      </w:r>
      <w:r>
        <w:rPr>
          <w:lang w:val="en-GB"/>
        </w:rPr>
        <w:t>0</w:t>
      </w:r>
      <w:r>
        <w:rPr>
          <w:lang w:val="en-GB"/>
        </w:rPr>
        <w:t>段</w:t>
      </w:r>
      <w:r>
        <w:rPr>
          <w:rFonts w:hint="eastAsia"/>
          <w:lang w:val="en-GB"/>
        </w:rPr>
        <w:t>。</w:t>
      </w:r>
    </w:p>
  </w:footnote>
  <w:footnote w:id="66">
    <w:p w:rsidR="004527D5" w:rsidRPr="009421A2" w:rsidRDefault="004527D5" w:rsidP="00B46406">
      <w:pPr>
        <w:pStyle w:val="EndnoteText"/>
        <w:tabs>
          <w:tab w:val="clear" w:pos="431"/>
        </w:tabs>
      </w:pPr>
      <w:r w:rsidRPr="00B51DC3">
        <w:tab/>
      </w:r>
      <w:r w:rsidRPr="006A5AF9">
        <w:rPr>
          <w:rStyle w:val="FootnoteReference"/>
          <w:rFonts w:eastAsia="SimSun"/>
        </w:rPr>
        <w:footnoteRef/>
      </w:r>
      <w:r w:rsidRPr="00B51DC3">
        <w:tab/>
      </w:r>
      <w:r w:rsidRPr="00267CBA">
        <w:rPr>
          <w:rFonts w:hint="eastAsia"/>
        </w:rPr>
        <w:t>见《基本原则》原则</w:t>
      </w:r>
      <w:r w:rsidR="0022563B">
        <w:rPr>
          <w:rFonts w:hint="eastAsia"/>
        </w:rPr>
        <w:t>2</w:t>
      </w:r>
      <w:r w:rsidR="0022563B">
        <w:t>4</w:t>
      </w:r>
      <w:r w:rsidRPr="00267CBA">
        <w:rPr>
          <w:rFonts w:hint="eastAsia"/>
        </w:rPr>
        <w:t>。</w:t>
      </w:r>
    </w:p>
  </w:footnote>
  <w:footnote w:id="67">
    <w:p w:rsidR="004527D5" w:rsidRPr="00155CE8" w:rsidRDefault="004527D5" w:rsidP="00B46406">
      <w:pPr>
        <w:pStyle w:val="EndnoteText"/>
        <w:tabs>
          <w:tab w:val="clear" w:pos="431"/>
        </w:tabs>
        <w:rPr>
          <w:lang w:val="en-AU"/>
        </w:rPr>
      </w:pPr>
      <w:r w:rsidRPr="00B51DC3">
        <w:tab/>
      </w:r>
      <w:r w:rsidRPr="006A5AF9">
        <w:rPr>
          <w:rStyle w:val="FootnoteReference"/>
          <w:rFonts w:eastAsia="SimSun"/>
        </w:rPr>
        <w:footnoteRef/>
      </w:r>
      <w:r w:rsidRPr="00B51DC3">
        <w:tab/>
      </w:r>
      <w:r>
        <w:rPr>
          <w:rFonts w:hint="eastAsia"/>
        </w:rPr>
        <w:t>《</w:t>
      </w:r>
      <w:r w:rsidRPr="007451E4">
        <w:rPr>
          <w:rFonts w:hint="eastAsia"/>
        </w:rPr>
        <w:t>关于检察官作用的准则</w:t>
      </w:r>
      <w:r>
        <w:rPr>
          <w:rFonts w:hint="eastAsia"/>
        </w:rPr>
        <w:t>》准则</w:t>
      </w:r>
      <w:r w:rsidR="0022563B">
        <w:rPr>
          <w:rFonts w:hint="eastAsia"/>
        </w:rPr>
        <w:t>13</w:t>
      </w:r>
      <w:r w:rsidR="00B46406">
        <w:t>(</w:t>
      </w:r>
      <w:r w:rsidR="0022563B">
        <w:t>a</w:t>
      </w:r>
      <w:r w:rsidR="00B46406">
        <w:t>)</w:t>
      </w:r>
      <w:r>
        <w:rPr>
          <w:rFonts w:hint="eastAsia"/>
        </w:rPr>
        <w:t>和</w:t>
      </w:r>
      <w:r w:rsidR="0022563B">
        <w:t>15</w:t>
      </w:r>
      <w:r>
        <w:rPr>
          <w:rFonts w:hint="eastAsia"/>
        </w:rPr>
        <w:t>。</w:t>
      </w:r>
    </w:p>
  </w:footnote>
  <w:footnote w:id="68">
    <w:p w:rsidR="004527D5" w:rsidRPr="009421A2" w:rsidRDefault="004527D5" w:rsidP="00B46406">
      <w:pPr>
        <w:pStyle w:val="EndnoteText"/>
        <w:tabs>
          <w:tab w:val="clear" w:pos="431"/>
        </w:tabs>
      </w:pPr>
      <w:r w:rsidRPr="00B51DC3">
        <w:tab/>
      </w:r>
      <w:r w:rsidRPr="006A5AF9">
        <w:rPr>
          <w:rStyle w:val="FootnoteReference"/>
          <w:rFonts w:eastAsia="SimSun"/>
        </w:rPr>
        <w:footnoteRef/>
      </w:r>
      <w:r w:rsidRPr="00B51DC3">
        <w:tab/>
      </w:r>
      <w:r>
        <w:rPr>
          <w:rFonts w:hint="eastAsia"/>
        </w:rPr>
        <w:t>《</w:t>
      </w:r>
      <w:r w:rsidRPr="00B767E6">
        <w:rPr>
          <w:rFonts w:hint="eastAsia"/>
        </w:rPr>
        <w:t>关于司法机关独立的基本原则</w:t>
      </w:r>
      <w:r>
        <w:rPr>
          <w:rFonts w:hint="eastAsia"/>
        </w:rPr>
        <w:t>》原则</w:t>
      </w:r>
      <w:r w:rsidR="0022563B">
        <w:rPr>
          <w:rFonts w:hint="eastAsia"/>
        </w:rPr>
        <w:t>2</w:t>
      </w:r>
      <w:r>
        <w:rPr>
          <w:rFonts w:hint="eastAsia"/>
        </w:rPr>
        <w:t>。</w:t>
      </w:r>
    </w:p>
  </w:footnote>
  <w:footnote w:id="69">
    <w:p w:rsidR="004527D5" w:rsidRPr="009421A2" w:rsidRDefault="004527D5" w:rsidP="00B46406">
      <w:pPr>
        <w:pStyle w:val="EndnoteText"/>
        <w:tabs>
          <w:tab w:val="clear" w:pos="431"/>
        </w:tabs>
      </w:pPr>
      <w:r w:rsidRPr="00B51DC3">
        <w:tab/>
      </w:r>
      <w:r w:rsidRPr="006A5AF9">
        <w:rPr>
          <w:rStyle w:val="FootnoteReference"/>
          <w:rFonts w:eastAsia="SimSun"/>
        </w:rPr>
        <w:footnoteRef/>
      </w:r>
      <w:r w:rsidRPr="00B51DC3">
        <w:tab/>
      </w:r>
      <w:r w:rsidR="0022563B">
        <w:t>Council</w:t>
      </w:r>
      <w:r w:rsidRPr="009421A2">
        <w:t xml:space="preserve"> </w:t>
      </w:r>
      <w:r w:rsidR="0022563B">
        <w:t>of</w:t>
      </w:r>
      <w:r w:rsidRPr="009421A2">
        <w:t xml:space="preserve"> </w:t>
      </w:r>
      <w:r w:rsidR="0022563B">
        <w:t>Europe</w:t>
      </w:r>
      <w:r>
        <w:t xml:space="preserve">, </w:t>
      </w:r>
      <w:r w:rsidR="0022563B">
        <w:t>Commissioner</w:t>
      </w:r>
      <w:r w:rsidRPr="009421A2">
        <w:t xml:space="preserve"> </w:t>
      </w:r>
      <w:r w:rsidR="0022563B">
        <w:t>for</w:t>
      </w:r>
      <w:r w:rsidRPr="009421A2">
        <w:t xml:space="preserve"> </w:t>
      </w:r>
      <w:r w:rsidR="0022563B">
        <w:t>Human</w:t>
      </w:r>
      <w:r w:rsidRPr="009421A2">
        <w:t xml:space="preserve"> </w:t>
      </w:r>
      <w:r w:rsidR="0022563B">
        <w:t>Rights</w:t>
      </w:r>
      <w:r>
        <w:t xml:space="preserve">, </w:t>
      </w:r>
      <w:r w:rsidR="0022563B">
        <w:rPr>
          <w:rFonts w:hint="eastAsia"/>
        </w:rPr>
        <w:t>“</w:t>
      </w:r>
      <w:r w:rsidR="0022563B">
        <w:rPr>
          <w:iCs/>
        </w:rPr>
        <w:t>Opinion</w:t>
      </w:r>
      <w:r w:rsidRPr="00D71FE9">
        <w:rPr>
          <w:iCs/>
        </w:rPr>
        <w:t xml:space="preserve"> </w:t>
      </w:r>
      <w:r w:rsidR="0022563B">
        <w:rPr>
          <w:iCs/>
        </w:rPr>
        <w:t>of</w:t>
      </w:r>
      <w:r w:rsidRPr="00D71FE9">
        <w:rPr>
          <w:iCs/>
        </w:rPr>
        <w:t xml:space="preserve"> </w:t>
      </w:r>
      <w:r w:rsidR="0022563B">
        <w:rPr>
          <w:iCs/>
        </w:rPr>
        <w:t>the</w:t>
      </w:r>
      <w:r w:rsidRPr="00D71FE9">
        <w:rPr>
          <w:iCs/>
        </w:rPr>
        <w:t xml:space="preserve"> </w:t>
      </w:r>
      <w:r w:rsidR="0022563B">
        <w:rPr>
          <w:iCs/>
        </w:rPr>
        <w:t>Commissioner</w:t>
      </w:r>
      <w:r w:rsidRPr="00D71FE9">
        <w:rPr>
          <w:iCs/>
        </w:rPr>
        <w:t xml:space="preserve"> </w:t>
      </w:r>
      <w:r w:rsidR="0022563B">
        <w:rPr>
          <w:iCs/>
        </w:rPr>
        <w:t>for</w:t>
      </w:r>
      <w:r w:rsidRPr="00D71FE9">
        <w:rPr>
          <w:iCs/>
        </w:rPr>
        <w:t xml:space="preserve"> </w:t>
      </w:r>
      <w:r w:rsidR="0022563B">
        <w:rPr>
          <w:iCs/>
        </w:rPr>
        <w:t>Human</w:t>
      </w:r>
      <w:r w:rsidRPr="00D71FE9">
        <w:rPr>
          <w:iCs/>
        </w:rPr>
        <w:t xml:space="preserve"> </w:t>
      </w:r>
      <w:r w:rsidR="0022563B">
        <w:rPr>
          <w:iCs/>
        </w:rPr>
        <w:t>Rights</w:t>
      </w:r>
      <w:r w:rsidRPr="00D71FE9">
        <w:rPr>
          <w:iCs/>
        </w:rPr>
        <w:t xml:space="preserve"> </w:t>
      </w:r>
      <w:r w:rsidR="0022563B">
        <w:rPr>
          <w:iCs/>
        </w:rPr>
        <w:t>concerning</w:t>
      </w:r>
      <w:r w:rsidRPr="00D71FE9">
        <w:rPr>
          <w:iCs/>
        </w:rPr>
        <w:t xml:space="preserve"> </w:t>
      </w:r>
      <w:r w:rsidR="0022563B">
        <w:rPr>
          <w:iCs/>
        </w:rPr>
        <w:t>independent</w:t>
      </w:r>
      <w:r w:rsidRPr="00D71FE9">
        <w:rPr>
          <w:iCs/>
        </w:rPr>
        <w:t xml:space="preserve"> </w:t>
      </w:r>
      <w:r w:rsidR="0022563B">
        <w:rPr>
          <w:iCs/>
        </w:rPr>
        <w:t>and</w:t>
      </w:r>
      <w:r w:rsidRPr="00D71FE9">
        <w:rPr>
          <w:iCs/>
        </w:rPr>
        <w:t xml:space="preserve"> </w:t>
      </w:r>
      <w:r w:rsidR="0022563B">
        <w:rPr>
          <w:iCs/>
        </w:rPr>
        <w:t>effective</w:t>
      </w:r>
      <w:r w:rsidRPr="00D71FE9">
        <w:rPr>
          <w:iCs/>
        </w:rPr>
        <w:t xml:space="preserve"> </w:t>
      </w:r>
      <w:r w:rsidR="0022563B">
        <w:rPr>
          <w:iCs/>
        </w:rPr>
        <w:t>determination</w:t>
      </w:r>
      <w:r w:rsidRPr="00D71FE9">
        <w:rPr>
          <w:iCs/>
        </w:rPr>
        <w:t xml:space="preserve"> </w:t>
      </w:r>
      <w:r w:rsidR="0022563B">
        <w:rPr>
          <w:iCs/>
        </w:rPr>
        <w:t>of</w:t>
      </w:r>
      <w:r w:rsidRPr="00D71FE9">
        <w:rPr>
          <w:iCs/>
        </w:rPr>
        <w:t xml:space="preserve"> </w:t>
      </w:r>
      <w:r w:rsidR="0022563B">
        <w:rPr>
          <w:iCs/>
        </w:rPr>
        <w:t>complaints</w:t>
      </w:r>
      <w:r w:rsidRPr="00D71FE9">
        <w:rPr>
          <w:iCs/>
        </w:rPr>
        <w:t xml:space="preserve"> </w:t>
      </w:r>
      <w:r w:rsidR="0022563B">
        <w:rPr>
          <w:iCs/>
        </w:rPr>
        <w:t>against</w:t>
      </w:r>
      <w:r w:rsidRPr="00D71FE9">
        <w:rPr>
          <w:iCs/>
        </w:rPr>
        <w:t xml:space="preserve"> </w:t>
      </w:r>
      <w:r w:rsidR="0022563B">
        <w:rPr>
          <w:iCs/>
        </w:rPr>
        <w:t>the</w:t>
      </w:r>
      <w:r w:rsidRPr="00D71FE9">
        <w:rPr>
          <w:iCs/>
        </w:rPr>
        <w:t xml:space="preserve"> </w:t>
      </w:r>
      <w:r w:rsidR="0022563B">
        <w:rPr>
          <w:iCs/>
        </w:rPr>
        <w:t>police</w:t>
      </w:r>
      <w:r w:rsidR="0022563B">
        <w:rPr>
          <w:rFonts w:hint="eastAsia"/>
          <w:iCs/>
        </w:rPr>
        <w:t>”</w:t>
      </w:r>
      <w:r w:rsidRPr="009421A2">
        <w:t xml:space="preserve"> (</w:t>
      </w:r>
      <w:r w:rsidR="0022563B">
        <w:t>12</w:t>
      </w:r>
      <w:r w:rsidRPr="009421A2">
        <w:t xml:space="preserve"> </w:t>
      </w:r>
      <w:r w:rsidR="0022563B">
        <w:t>March</w:t>
      </w:r>
      <w:r w:rsidRPr="009421A2">
        <w:t xml:space="preserve"> </w:t>
      </w:r>
      <w:r w:rsidR="0022563B">
        <w:t>2</w:t>
      </w:r>
      <w:r w:rsidRPr="009421A2">
        <w:t>00</w:t>
      </w:r>
      <w:r w:rsidR="0022563B">
        <w:t>9</w:t>
      </w:r>
      <w:r w:rsidRPr="009421A2">
        <w:t>)</w:t>
      </w:r>
      <w:r>
        <w:t>，</w:t>
      </w:r>
      <w:proofErr w:type="spellStart"/>
      <w:r w:rsidR="0022563B">
        <w:t>para</w:t>
      </w:r>
      <w:proofErr w:type="spellEnd"/>
      <w:r>
        <w:t>.</w:t>
      </w:r>
      <w:r w:rsidRPr="009421A2">
        <w:t xml:space="preserve"> </w:t>
      </w:r>
      <w:r w:rsidR="0022563B">
        <w:t>25</w:t>
      </w:r>
      <w:r w:rsidRPr="009421A2">
        <w:t>.</w:t>
      </w:r>
    </w:p>
  </w:footnote>
  <w:footnote w:id="70">
    <w:p w:rsidR="004527D5" w:rsidRPr="009421A2" w:rsidRDefault="004527D5" w:rsidP="00B46406">
      <w:pPr>
        <w:pStyle w:val="EndnoteText"/>
        <w:tabs>
          <w:tab w:val="clear" w:pos="431"/>
        </w:tabs>
      </w:pPr>
      <w:r w:rsidRPr="00B51DC3">
        <w:tab/>
      </w:r>
      <w:r w:rsidRPr="006A5AF9">
        <w:rPr>
          <w:rStyle w:val="FootnoteReference"/>
          <w:rFonts w:eastAsia="SimSun"/>
        </w:rPr>
        <w:footnoteRef/>
      </w:r>
      <w:r w:rsidRPr="00B51DC3">
        <w:tab/>
      </w:r>
      <w:r>
        <w:rPr>
          <w:rFonts w:hint="eastAsia"/>
        </w:rPr>
        <w:t>《</w:t>
      </w:r>
      <w:r w:rsidRPr="004067B1">
        <w:rPr>
          <w:rFonts w:hint="eastAsia"/>
        </w:rPr>
        <w:t>基本原则和准则</w:t>
      </w:r>
      <w:r>
        <w:rPr>
          <w:rFonts w:hint="eastAsia"/>
        </w:rPr>
        <w:t>》原则</w:t>
      </w:r>
      <w:r w:rsidR="0022563B">
        <w:rPr>
          <w:rFonts w:hint="eastAsia"/>
        </w:rPr>
        <w:t>15</w:t>
      </w:r>
      <w:r>
        <w:rPr>
          <w:rFonts w:hint="eastAsia"/>
        </w:rPr>
        <w:t>。</w:t>
      </w:r>
    </w:p>
  </w:footnote>
  <w:footnote w:id="71">
    <w:p w:rsidR="004527D5" w:rsidRPr="009421A2" w:rsidRDefault="004527D5" w:rsidP="00B46406">
      <w:pPr>
        <w:pStyle w:val="EndnoteText"/>
        <w:tabs>
          <w:tab w:val="clear" w:pos="431"/>
        </w:tabs>
      </w:pPr>
      <w:r w:rsidRPr="00B51DC3">
        <w:tab/>
      </w:r>
      <w:r w:rsidRPr="006A5AF9">
        <w:rPr>
          <w:rStyle w:val="FootnoteReference"/>
          <w:rFonts w:eastAsia="SimSun"/>
        </w:rPr>
        <w:footnoteRef/>
      </w:r>
      <w:r w:rsidRPr="00B51DC3">
        <w:tab/>
      </w:r>
      <w:r w:rsidRPr="004067B1">
        <w:rPr>
          <w:rFonts w:hint="eastAsia"/>
        </w:rPr>
        <w:t>《基本原则和准则》原则</w:t>
      </w:r>
      <w:r w:rsidR="0022563B">
        <w:rPr>
          <w:rFonts w:hint="eastAsia"/>
        </w:rPr>
        <w:t>1</w:t>
      </w:r>
      <w:r w:rsidR="0022563B">
        <w:t>1</w:t>
      </w:r>
      <w:r w:rsidRPr="004067B1">
        <w:rPr>
          <w:rFonts w:hint="eastAsia"/>
        </w:rPr>
        <w:t>。</w:t>
      </w:r>
    </w:p>
  </w:footnote>
  <w:footnote w:id="72">
    <w:p w:rsidR="004527D5" w:rsidRPr="009421A2" w:rsidRDefault="004527D5" w:rsidP="00B46406">
      <w:pPr>
        <w:pStyle w:val="EndnoteText"/>
        <w:tabs>
          <w:tab w:val="clear" w:pos="431"/>
        </w:tabs>
      </w:pPr>
      <w:r w:rsidRPr="00B51DC3">
        <w:tab/>
      </w:r>
      <w:r w:rsidRPr="006A5AF9">
        <w:rPr>
          <w:rStyle w:val="FootnoteReference"/>
          <w:rFonts w:eastAsia="SimSun"/>
        </w:rPr>
        <w:footnoteRef/>
      </w:r>
      <w:r w:rsidRPr="00B51DC3">
        <w:tab/>
      </w:r>
      <w:r w:rsidRPr="00C13272">
        <w:rPr>
          <w:rFonts w:hint="eastAsia"/>
        </w:rPr>
        <w:t>见人权理事会第</w:t>
      </w:r>
      <w:r w:rsidR="0022563B">
        <w:rPr>
          <w:rFonts w:hint="eastAsia"/>
        </w:rPr>
        <w:t>22</w:t>
      </w:r>
      <w:r>
        <w:rPr>
          <w:rFonts w:hint="eastAsia"/>
        </w:rPr>
        <w:t>/</w:t>
      </w:r>
      <w:r w:rsidR="0022563B">
        <w:rPr>
          <w:rFonts w:hint="eastAsia"/>
        </w:rPr>
        <w:t>1</w:t>
      </w:r>
      <w:r>
        <w:rPr>
          <w:rFonts w:hint="eastAsia"/>
        </w:rPr>
        <w:t>0</w:t>
      </w:r>
      <w:r>
        <w:rPr>
          <w:rFonts w:hint="eastAsia"/>
        </w:rPr>
        <w:t>号决议，及</w:t>
      </w:r>
      <w:r w:rsidR="0022563B">
        <w:rPr>
          <w:rFonts w:hint="eastAsia"/>
        </w:rPr>
        <w:t>A</w:t>
      </w:r>
      <w:r w:rsidRPr="00C13272">
        <w:rPr>
          <w:rFonts w:hint="eastAsia"/>
        </w:rPr>
        <w:t>/</w:t>
      </w:r>
      <w:r w:rsidR="0022563B">
        <w:rPr>
          <w:rFonts w:hint="eastAsia"/>
        </w:rPr>
        <w:t>68</w:t>
      </w:r>
      <w:r w:rsidRPr="00C13272">
        <w:rPr>
          <w:rFonts w:hint="eastAsia"/>
        </w:rPr>
        <w:t>/</w:t>
      </w:r>
      <w:r w:rsidR="0022563B">
        <w:rPr>
          <w:rFonts w:hint="eastAsia"/>
        </w:rPr>
        <w:t>299</w:t>
      </w:r>
      <w:r>
        <w:rPr>
          <w:rFonts w:hint="eastAsia"/>
        </w:rPr>
        <w:t>第</w:t>
      </w:r>
      <w:r w:rsidR="0022563B">
        <w:rPr>
          <w:rFonts w:hint="eastAsia"/>
        </w:rPr>
        <w:t>17</w:t>
      </w:r>
      <w:r>
        <w:rPr>
          <w:rFonts w:hint="eastAsia"/>
        </w:rPr>
        <w:t>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7D5" w:rsidRDefault="004527D5" w:rsidP="00244AF4">
    <w:pPr>
      <w:pStyle w:val="Header"/>
    </w:pPr>
    <w:r>
      <w:t>A/HRC/31/66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7D5" w:rsidRPr="00202A30" w:rsidRDefault="004527D5" w:rsidP="00244AF4">
    <w:pPr>
      <w:pStyle w:val="Header"/>
      <w:jc w:val="right"/>
    </w:pPr>
    <w:r>
      <w:t>A/HRC/31/66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AF67A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7B420A6C"/>
    <w:lvl w:ilvl="0">
      <w:start w:val="1"/>
      <w:numFmt w:val="decimal"/>
      <w:lvlText w:val="%1."/>
      <w:lvlJc w:val="left"/>
      <w:pPr>
        <w:tabs>
          <w:tab w:val="num" w:pos="360"/>
        </w:tabs>
        <w:ind w:left="360" w:hanging="360"/>
      </w:pPr>
      <w:rPr>
        <w:rFonts w:cs="Times New Roman"/>
      </w:rPr>
    </w:lvl>
  </w:abstractNum>
  <w:abstractNum w:abstractNumId="2">
    <w:nsid w:val="010C49F8"/>
    <w:multiLevelType w:val="hybridMultilevel"/>
    <w:tmpl w:val="915E3030"/>
    <w:lvl w:ilvl="0" w:tplc="075A6416">
      <w:start w:val="1"/>
      <w:numFmt w:val="decimal"/>
      <w:pStyle w:val="ParaNoG"/>
      <w:lvlText w:val="%1."/>
      <w:lvlJc w:val="left"/>
      <w:pPr>
        <w:tabs>
          <w:tab w:val="num" w:pos="1"/>
        </w:tabs>
        <w:ind w:left="1135" w:firstLine="0"/>
      </w:pPr>
      <w:rPr>
        <w:rFonts w:ascii="Times New Roman" w:hAnsi="Times New Roman" w:hint="default"/>
        <w:b w:val="0"/>
        <w:i w:val="0"/>
        <w:sz w:val="20"/>
      </w:rPr>
    </w:lvl>
    <w:lvl w:ilvl="1" w:tplc="9C50143C">
      <w:start w:val="1"/>
      <w:numFmt w:val="lowerLetter"/>
      <w:lvlText w:val="(%2)"/>
      <w:lvlJc w:val="left"/>
      <w:pPr>
        <w:ind w:left="360" w:hanging="360"/>
      </w:pPr>
      <w:rPr>
        <w:rFonts w:hint="default"/>
      </w:rPr>
    </w:lvl>
    <w:lvl w:ilvl="2" w:tplc="04090019">
      <w:start w:val="1"/>
      <w:numFmt w:val="lowerLetter"/>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B66C0C"/>
    <w:multiLevelType w:val="multilevel"/>
    <w:tmpl w:val="3BCED78C"/>
    <w:lvl w:ilvl="0">
      <w:start w:val="1"/>
      <w:numFmt w:val="decimal"/>
      <w:pStyle w:val="f"/>
      <w:lvlText w:val="%1"/>
      <w:lvlJc w:val="left"/>
      <w:pPr>
        <w:ind w:left="502" w:hanging="360"/>
      </w:pPr>
      <w:rPr>
        <w:rFonts w:ascii="Times New Roman" w:hAnsi="Times New Roman" w:cs="Times New Roman" w:hint="default"/>
        <w:b w:val="0"/>
        <w:sz w:val="20"/>
        <w:szCs w:val="20"/>
        <w:vertAlign w:val="baseline"/>
      </w:rPr>
    </w:lvl>
    <w:lvl w:ilvl="1">
      <w:start w:val="1"/>
      <w:numFmt w:val="decimal"/>
      <w:lvlText w:val="2.%2"/>
      <w:lvlJc w:val="left"/>
      <w:pPr>
        <w:ind w:left="360" w:hanging="360"/>
      </w:pPr>
      <w:rPr>
        <w:rFonts w:ascii="Times New Roman" w:hAnsi="Times New Roman" w:cs="Times New Roman"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A2B4665"/>
    <w:multiLevelType w:val="multilevel"/>
    <w:tmpl w:val="3BCED78C"/>
    <w:lvl w:ilvl="0">
      <w:start w:val="1"/>
      <w:numFmt w:val="decimal"/>
      <w:lvlText w:val="%1"/>
      <w:lvlJc w:val="left"/>
      <w:pPr>
        <w:ind w:left="502" w:hanging="360"/>
      </w:pPr>
      <w:rPr>
        <w:rFonts w:ascii="Times New Roman" w:hAnsi="Times New Roman" w:cs="Times New Roman" w:hint="default"/>
        <w:b w:val="0"/>
        <w:sz w:val="20"/>
        <w:szCs w:val="20"/>
        <w:vertAlign w:val="baseline"/>
      </w:rPr>
    </w:lvl>
    <w:lvl w:ilvl="1">
      <w:start w:val="1"/>
      <w:numFmt w:val="decimal"/>
      <w:lvlText w:val="2.%2"/>
      <w:lvlJc w:val="left"/>
      <w:pPr>
        <w:ind w:left="360" w:hanging="360"/>
      </w:pPr>
      <w:rPr>
        <w:rFonts w:ascii="Times New Roman" w:hAnsi="Times New Roman" w:cs="Times New Roman"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CC46E55"/>
    <w:multiLevelType w:val="hybridMultilevel"/>
    <w:tmpl w:val="0882A392"/>
    <w:lvl w:ilvl="0" w:tplc="9D1CA848">
      <w:start w:val="1"/>
      <w:numFmt w:val="lowerLetter"/>
      <w:lvlText w:val="(%1)"/>
      <w:lvlJc w:val="left"/>
      <w:pPr>
        <w:tabs>
          <w:tab w:val="num" w:pos="1701"/>
        </w:tabs>
        <w:ind w:left="1701" w:hanging="170"/>
      </w:pPr>
      <w:rPr>
        <w:rFonts w:ascii="Times New Roman" w:eastAsia="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1B49E2"/>
    <w:multiLevelType w:val="multilevel"/>
    <w:tmpl w:val="753AD5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8">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86768FE"/>
    <w:multiLevelType w:val="multilevel"/>
    <w:tmpl w:val="56FC8E34"/>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E7F1A13"/>
    <w:multiLevelType w:val="hybridMultilevel"/>
    <w:tmpl w:val="F7A069EC"/>
    <w:lvl w:ilvl="0" w:tplc="9D1CA848">
      <w:start w:val="1"/>
      <w:numFmt w:val="lowerLetter"/>
      <w:lvlText w:val="(%1)"/>
      <w:lvlJc w:val="left"/>
      <w:pPr>
        <w:tabs>
          <w:tab w:val="num" w:pos="1701"/>
        </w:tabs>
        <w:ind w:left="1701" w:hanging="170"/>
      </w:pPr>
      <w:rPr>
        <w:rFonts w:ascii="Times New Roman" w:eastAsia="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F3D2D48"/>
    <w:multiLevelType w:val="hybridMultilevel"/>
    <w:tmpl w:val="C5829A1A"/>
    <w:lvl w:ilvl="0" w:tplc="CF24560A">
      <w:start w:val="1"/>
      <w:numFmt w:val="lowerLetter"/>
      <w:lvlRestart w:val="0"/>
      <w:lvlText w:val="(%1)"/>
      <w:lvlJc w:val="left"/>
      <w:pPr>
        <w:tabs>
          <w:tab w:val="num" w:pos="2426"/>
        </w:tabs>
        <w:ind w:left="1134" w:firstLine="431"/>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3E24A08"/>
    <w:multiLevelType w:val="multilevel"/>
    <w:tmpl w:val="601A3AD4"/>
    <w:lvl w:ilvl="0">
      <w:start w:val="10"/>
      <w:numFmt w:val="decimal"/>
      <w:lvlText w:val="%1"/>
      <w:lvlJc w:val="left"/>
      <w:pPr>
        <w:ind w:left="380" w:hanging="380"/>
      </w:pPr>
      <w:rPr>
        <w:rFonts w:hint="default"/>
      </w:rPr>
    </w:lvl>
    <w:lvl w:ilvl="1">
      <w:start w:val="2"/>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6B11CA4"/>
    <w:multiLevelType w:val="hybridMultilevel"/>
    <w:tmpl w:val="FEC6AFC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567286"/>
    <w:multiLevelType w:val="hybridMultilevel"/>
    <w:tmpl w:val="BFBE7434"/>
    <w:lvl w:ilvl="0" w:tplc="4C6E81F0">
      <w:start w:val="1"/>
      <w:numFmt w:val="lowerLetter"/>
      <w:lvlRestart w:val="0"/>
      <w:lvlText w:val="(%1)"/>
      <w:lvlJc w:val="left"/>
      <w:pPr>
        <w:tabs>
          <w:tab w:val="num" w:pos="2858"/>
        </w:tabs>
        <w:ind w:left="1566" w:firstLine="431"/>
      </w:p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abstractNum w:abstractNumId="18">
    <w:nsid w:val="3C7D44F8"/>
    <w:multiLevelType w:val="multilevel"/>
    <w:tmpl w:val="FAE24464"/>
    <w:lvl w:ilvl="0">
      <w:start w:val="10"/>
      <w:numFmt w:val="decimal"/>
      <w:lvlText w:val="%1"/>
      <w:lvlJc w:val="left"/>
      <w:pPr>
        <w:ind w:left="380" w:hanging="38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F95730A"/>
    <w:multiLevelType w:val="hybridMultilevel"/>
    <w:tmpl w:val="08A289EE"/>
    <w:lvl w:ilvl="0" w:tplc="9D1CA848">
      <w:start w:val="1"/>
      <w:numFmt w:val="lowerLetter"/>
      <w:lvlText w:val="(%1)"/>
      <w:lvlJc w:val="left"/>
      <w:pPr>
        <w:tabs>
          <w:tab w:val="num" w:pos="1701"/>
        </w:tabs>
        <w:ind w:left="1701" w:hanging="170"/>
      </w:pPr>
      <w:rPr>
        <w:rFonts w:ascii="Times New Roman" w:eastAsia="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79E3F8D"/>
    <w:multiLevelType w:val="hybridMultilevel"/>
    <w:tmpl w:val="6B44A54A"/>
    <w:lvl w:ilvl="0" w:tplc="9D1CA848">
      <w:start w:val="1"/>
      <w:numFmt w:val="lowerLetter"/>
      <w:lvlText w:val="(%1)"/>
      <w:lvlJc w:val="left"/>
      <w:pPr>
        <w:tabs>
          <w:tab w:val="num" w:pos="1701"/>
        </w:tabs>
        <w:ind w:left="1701" w:hanging="170"/>
      </w:pPr>
      <w:rPr>
        <w:rFonts w:ascii="Times New Roman" w:eastAsia="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B8F76CD"/>
    <w:multiLevelType w:val="hybridMultilevel"/>
    <w:tmpl w:val="C3C8554C"/>
    <w:lvl w:ilvl="0" w:tplc="9D1CA848">
      <w:start w:val="1"/>
      <w:numFmt w:val="lowerLetter"/>
      <w:lvlText w:val="(%1)"/>
      <w:lvlJc w:val="left"/>
      <w:pPr>
        <w:tabs>
          <w:tab w:val="num" w:pos="1701"/>
        </w:tabs>
        <w:ind w:left="1701" w:hanging="170"/>
      </w:pPr>
      <w:rPr>
        <w:rFonts w:ascii="Times New Roman" w:eastAsia="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B9138DD"/>
    <w:multiLevelType w:val="multilevel"/>
    <w:tmpl w:val="E12E3C6C"/>
    <w:lvl w:ilvl="0">
      <w:start w:val="1"/>
      <w:numFmt w:val="decimal"/>
      <w:lvlText w:val="%1"/>
      <w:lvlJc w:val="left"/>
      <w:pPr>
        <w:ind w:left="360" w:hanging="360"/>
      </w:pPr>
      <w:rPr>
        <w:rFonts w:hint="default"/>
      </w:rPr>
    </w:lvl>
    <w:lvl w:ilvl="1">
      <w:start w:val="1"/>
      <w:numFmt w:val="decimal"/>
      <w:lvlText w:val="2.%2"/>
      <w:lvlJc w:val="left"/>
      <w:pPr>
        <w:ind w:left="360" w:hanging="360"/>
      </w:pPr>
      <w:rPr>
        <w:rFonts w:ascii="Times New Roman" w:hAnsi="Times New Roman" w:cs="Times New Roman"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E5B48FE"/>
    <w:multiLevelType w:val="hybridMultilevel"/>
    <w:tmpl w:val="19A0887C"/>
    <w:lvl w:ilvl="0" w:tplc="9D1CA848">
      <w:start w:val="1"/>
      <w:numFmt w:val="lowerLetter"/>
      <w:lvlText w:val="(%1)"/>
      <w:lvlJc w:val="left"/>
      <w:pPr>
        <w:tabs>
          <w:tab w:val="num" w:pos="1701"/>
        </w:tabs>
        <w:ind w:left="1701" w:hanging="170"/>
      </w:pPr>
      <w:rPr>
        <w:rFonts w:ascii="Times New Roman" w:eastAsia="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40B6F53"/>
    <w:multiLevelType w:val="hybridMultilevel"/>
    <w:tmpl w:val="271847BA"/>
    <w:lvl w:ilvl="0" w:tplc="9D1CA848">
      <w:start w:val="1"/>
      <w:numFmt w:val="lowerLetter"/>
      <w:lvlText w:val="(%1)"/>
      <w:lvlJc w:val="left"/>
      <w:pPr>
        <w:tabs>
          <w:tab w:val="num" w:pos="1701"/>
        </w:tabs>
        <w:ind w:left="1701" w:hanging="170"/>
      </w:pPr>
      <w:rPr>
        <w:rFonts w:ascii="Times New Roman" w:eastAsia="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88B253F"/>
    <w:multiLevelType w:val="hybridMultilevel"/>
    <w:tmpl w:val="64349D94"/>
    <w:lvl w:ilvl="0" w:tplc="AD261C86">
      <w:start w:val="1"/>
      <w:numFmt w:val="decimal"/>
      <w:lvlText w:val="%1."/>
      <w:lvlJc w:val="left"/>
      <w:pPr>
        <w:ind w:left="1854" w:hanging="360"/>
      </w:pPr>
      <w:rPr>
        <w:b w:val="0"/>
        <w:bCs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6">
    <w:nsid w:val="5B1738A0"/>
    <w:multiLevelType w:val="hybridMultilevel"/>
    <w:tmpl w:val="9CCE3404"/>
    <w:lvl w:ilvl="0" w:tplc="84A8A25C">
      <w:start w:val="1"/>
      <w:numFmt w:val="decimal"/>
      <w:lvlText w:val="%1."/>
      <w:lvlJc w:val="left"/>
      <w:pPr>
        <w:ind w:left="1734" w:hanging="60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nsid w:val="5D39309F"/>
    <w:multiLevelType w:val="multilevel"/>
    <w:tmpl w:val="0450F330"/>
    <w:lvl w:ilvl="0">
      <w:start w:val="10"/>
      <w:numFmt w:val="decimal"/>
      <w:lvlText w:val="%1"/>
      <w:lvlJc w:val="left"/>
      <w:pPr>
        <w:ind w:left="380" w:hanging="380"/>
      </w:pPr>
      <w:rPr>
        <w:rFonts w:hint="default"/>
      </w:rPr>
    </w:lvl>
    <w:lvl w:ilvl="1">
      <w:start w:val="2"/>
      <w:numFmt w:val="decimal"/>
      <w:lvlText w:val="9.%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nsid w:val="64ED186E"/>
    <w:multiLevelType w:val="hybridMultilevel"/>
    <w:tmpl w:val="AE685F78"/>
    <w:lvl w:ilvl="0" w:tplc="9D1CA848">
      <w:start w:val="1"/>
      <w:numFmt w:val="lowerLetter"/>
      <w:lvlText w:val="(%1)"/>
      <w:lvlJc w:val="left"/>
      <w:pPr>
        <w:tabs>
          <w:tab w:val="num" w:pos="1701"/>
        </w:tabs>
        <w:ind w:left="1701" w:hanging="170"/>
      </w:pPr>
      <w:rPr>
        <w:rFonts w:ascii="Times New Roman" w:eastAsia="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1">
    <w:nsid w:val="75EB7B6F"/>
    <w:multiLevelType w:val="hybridMultilevel"/>
    <w:tmpl w:val="50E000F8"/>
    <w:lvl w:ilvl="0" w:tplc="9D1CA848">
      <w:start w:val="1"/>
      <w:numFmt w:val="lowerLetter"/>
      <w:lvlText w:val="(%1)"/>
      <w:lvlJc w:val="left"/>
      <w:pPr>
        <w:tabs>
          <w:tab w:val="num" w:pos="1701"/>
        </w:tabs>
        <w:ind w:left="1701" w:hanging="170"/>
      </w:pPr>
      <w:rPr>
        <w:rFonts w:ascii="Times New Roman" w:eastAsia="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729229A"/>
    <w:multiLevelType w:val="multilevel"/>
    <w:tmpl w:val="06FEB968"/>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8151B09"/>
    <w:multiLevelType w:val="hybridMultilevel"/>
    <w:tmpl w:val="9A4CCA18"/>
    <w:lvl w:ilvl="0" w:tplc="9D1CA848">
      <w:start w:val="1"/>
      <w:numFmt w:val="lowerLetter"/>
      <w:lvlText w:val="(%1)"/>
      <w:lvlJc w:val="left"/>
      <w:pPr>
        <w:tabs>
          <w:tab w:val="num" w:pos="1701"/>
        </w:tabs>
        <w:ind w:left="1701" w:hanging="170"/>
      </w:pPr>
      <w:rPr>
        <w:rFonts w:ascii="Times New Roman" w:eastAsia="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F9B3013"/>
    <w:multiLevelType w:val="hybridMultilevel"/>
    <w:tmpl w:val="22047D24"/>
    <w:lvl w:ilvl="0" w:tplc="79787D28">
      <w:start w:val="1"/>
      <w:numFmt w:val="lowerLetter"/>
      <w:lvlRestart w:val="0"/>
      <w:lvlText w:val="(%1)"/>
      <w:lvlJc w:val="left"/>
      <w:pPr>
        <w:tabs>
          <w:tab w:val="num" w:pos="2426"/>
        </w:tabs>
        <w:ind w:left="1134" w:firstLine="431"/>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30"/>
  </w:num>
  <w:num w:numId="3">
    <w:abstractNumId w:val="8"/>
  </w:num>
  <w:num w:numId="4">
    <w:abstractNumId w:val="1"/>
  </w:num>
  <w:num w:numId="5">
    <w:abstractNumId w:val="16"/>
  </w:num>
  <w:num w:numId="6">
    <w:abstractNumId w:val="11"/>
  </w:num>
  <w:num w:numId="7">
    <w:abstractNumId w:val="28"/>
  </w:num>
  <w:num w:numId="8">
    <w:abstractNumId w:val="9"/>
  </w:num>
  <w:num w:numId="9">
    <w:abstractNumId w:val="2"/>
  </w:num>
  <w:num w:numId="10">
    <w:abstractNumId w:val="32"/>
  </w:num>
  <w:num w:numId="11">
    <w:abstractNumId w:val="14"/>
  </w:num>
  <w:num w:numId="12">
    <w:abstractNumId w:val="10"/>
  </w:num>
  <w:num w:numId="13">
    <w:abstractNumId w:val="3"/>
  </w:num>
  <w:num w:numId="14">
    <w:abstractNumId w:val="4"/>
  </w:num>
  <w:num w:numId="15">
    <w:abstractNumId w:val="22"/>
  </w:num>
  <w:num w:numId="16">
    <w:abstractNumId w:val="0"/>
  </w:num>
  <w:num w:numId="17">
    <w:abstractNumId w:val="27"/>
  </w:num>
  <w:num w:numId="18">
    <w:abstractNumId w:val="18"/>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5"/>
  </w:num>
  <w:num w:numId="23">
    <w:abstractNumId w:val="12"/>
  </w:num>
  <w:num w:numId="24">
    <w:abstractNumId w:val="29"/>
  </w:num>
  <w:num w:numId="25">
    <w:abstractNumId w:val="23"/>
  </w:num>
  <w:num w:numId="26">
    <w:abstractNumId w:val="24"/>
  </w:num>
  <w:num w:numId="27">
    <w:abstractNumId w:val="31"/>
  </w:num>
  <w:num w:numId="28">
    <w:abstractNumId w:val="21"/>
  </w:num>
  <w:num w:numId="29">
    <w:abstractNumId w:val="19"/>
  </w:num>
  <w:num w:numId="30">
    <w:abstractNumId w:val="33"/>
  </w:num>
  <w:num w:numId="31">
    <w:abstractNumId w:val="20"/>
  </w:num>
  <w:num w:numId="32">
    <w:abstractNumId w:val="15"/>
  </w:num>
  <w:num w:numId="33">
    <w:abstractNumId w:val="26"/>
  </w:num>
  <w:num w:numId="34">
    <w:abstractNumId w:val="13"/>
  </w:num>
  <w:num w:numId="35">
    <w:abstractNumId w:val="17"/>
  </w:num>
  <w:num w:numId="3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stylePaneFormatFilter w:val="6004"/>
  <w:defaultTabStop w:val="431"/>
  <w:evenAndOddHeaders/>
  <w:drawingGridHorizontalSpacing w:val="142"/>
  <w:drawingGridVerticalSpacing w:val="156"/>
  <w:displayHorizontalDrawingGridEvery w:val="0"/>
  <w:displayVerticalDrawingGridEvery w:val="2"/>
  <w:characterSpacingControl w:val="doNotCompress"/>
  <w:hdrShapeDefaults>
    <o:shapedefaults v:ext="edit" spidmax="11266"/>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
  <w:rsids>
    <w:rsidRoot w:val="00E027A1"/>
    <w:rsid w:val="00011483"/>
    <w:rsid w:val="0009265E"/>
    <w:rsid w:val="000D319F"/>
    <w:rsid w:val="000E4D0E"/>
    <w:rsid w:val="000F3C60"/>
    <w:rsid w:val="00144B69"/>
    <w:rsid w:val="00153E86"/>
    <w:rsid w:val="00186C47"/>
    <w:rsid w:val="00187EC0"/>
    <w:rsid w:val="001B16DD"/>
    <w:rsid w:val="001B1BD1"/>
    <w:rsid w:val="001C3EF2"/>
    <w:rsid w:val="001D17F6"/>
    <w:rsid w:val="00204B42"/>
    <w:rsid w:val="002231C3"/>
    <w:rsid w:val="0022563B"/>
    <w:rsid w:val="0024417F"/>
    <w:rsid w:val="00244AF4"/>
    <w:rsid w:val="00250F8D"/>
    <w:rsid w:val="00256232"/>
    <w:rsid w:val="002939D6"/>
    <w:rsid w:val="002B6DF0"/>
    <w:rsid w:val="002E1C97"/>
    <w:rsid w:val="002E2670"/>
    <w:rsid w:val="002F5834"/>
    <w:rsid w:val="00326EBF"/>
    <w:rsid w:val="00327FE4"/>
    <w:rsid w:val="00346D15"/>
    <w:rsid w:val="00360A0A"/>
    <w:rsid w:val="003B5D7C"/>
    <w:rsid w:val="003C0C9C"/>
    <w:rsid w:val="003C70F0"/>
    <w:rsid w:val="00427F63"/>
    <w:rsid w:val="004527D5"/>
    <w:rsid w:val="004628F0"/>
    <w:rsid w:val="00474C6B"/>
    <w:rsid w:val="004C4A0A"/>
    <w:rsid w:val="00557D9A"/>
    <w:rsid w:val="00596B6A"/>
    <w:rsid w:val="005A4798"/>
    <w:rsid w:val="005E403A"/>
    <w:rsid w:val="00680656"/>
    <w:rsid w:val="006A5AF9"/>
    <w:rsid w:val="006B1119"/>
    <w:rsid w:val="006B3896"/>
    <w:rsid w:val="006E3E46"/>
    <w:rsid w:val="006E71B1"/>
    <w:rsid w:val="006F5050"/>
    <w:rsid w:val="00705D89"/>
    <w:rsid w:val="00731A42"/>
    <w:rsid w:val="007330FC"/>
    <w:rsid w:val="00767CA3"/>
    <w:rsid w:val="00767E69"/>
    <w:rsid w:val="0077079A"/>
    <w:rsid w:val="007A5599"/>
    <w:rsid w:val="007E5DAD"/>
    <w:rsid w:val="00811540"/>
    <w:rsid w:val="00856233"/>
    <w:rsid w:val="00860F27"/>
    <w:rsid w:val="00891554"/>
    <w:rsid w:val="008B0560"/>
    <w:rsid w:val="008B2BFA"/>
    <w:rsid w:val="008B4347"/>
    <w:rsid w:val="008F3949"/>
    <w:rsid w:val="00902276"/>
    <w:rsid w:val="0093206A"/>
    <w:rsid w:val="00936F03"/>
    <w:rsid w:val="00943B69"/>
    <w:rsid w:val="00944CB3"/>
    <w:rsid w:val="009B09D7"/>
    <w:rsid w:val="009D35ED"/>
    <w:rsid w:val="00A03CB6"/>
    <w:rsid w:val="00A1364C"/>
    <w:rsid w:val="00A21076"/>
    <w:rsid w:val="00A3739A"/>
    <w:rsid w:val="00A52DAF"/>
    <w:rsid w:val="00A84072"/>
    <w:rsid w:val="00A84DF2"/>
    <w:rsid w:val="00A87B40"/>
    <w:rsid w:val="00B03E98"/>
    <w:rsid w:val="00B16570"/>
    <w:rsid w:val="00B423E7"/>
    <w:rsid w:val="00B46406"/>
    <w:rsid w:val="00B53320"/>
    <w:rsid w:val="00BC6522"/>
    <w:rsid w:val="00C121D5"/>
    <w:rsid w:val="00C17349"/>
    <w:rsid w:val="00C351AA"/>
    <w:rsid w:val="00C7253F"/>
    <w:rsid w:val="00C760F9"/>
    <w:rsid w:val="00C85D1F"/>
    <w:rsid w:val="00CE3B2A"/>
    <w:rsid w:val="00D06CEA"/>
    <w:rsid w:val="00D26A05"/>
    <w:rsid w:val="00D97B98"/>
    <w:rsid w:val="00DC671F"/>
    <w:rsid w:val="00DE0653"/>
    <w:rsid w:val="00DE4DA7"/>
    <w:rsid w:val="00E027A1"/>
    <w:rsid w:val="00E126F0"/>
    <w:rsid w:val="00E33B38"/>
    <w:rsid w:val="00E47FE5"/>
    <w:rsid w:val="00E574AF"/>
    <w:rsid w:val="00E845B2"/>
    <w:rsid w:val="00F00D09"/>
    <w:rsid w:val="00F22FA0"/>
    <w:rsid w:val="00F604E3"/>
    <w:rsid w:val="00F714DA"/>
    <w:rsid w:val="00FB24E5"/>
    <w:rsid w:val="00FB456B"/>
    <w:rsid w:val="00FF5FC3"/>
    <w:rsid w:val="00FF7C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1" w:qFormat="1"/>
    <w:lsdException w:name="header" w:unhideWhenUsed="1" w:qFormat="1"/>
    <w:lsdException w:name="footer" w:unhideWhenUsed="1" w:qFormat="1"/>
    <w:lsdException w:name="caption" w:uiPriority="35" w:unhideWhenUsed="1" w:qFormat="1"/>
    <w:lsdException w:name="envelope address" w:uiPriority="0"/>
    <w:lsdException w:name="envelope return" w:uiPriority="0"/>
    <w:lsdException w:name="footnote reference" w:uiPriority="0" w:unhideWhenUsed="1" w:qFormat="1"/>
    <w:lsdException w:name="page number" w:unhideWhenUsed="1" w:qFormat="1"/>
    <w:lsdException w:name="endnote reference" w:uiPriority="0" w:unhideWhenUsed="1" w:qFormat="1"/>
    <w:lsdException w:name="endnote text" w:uiPriority="0" w:unhideWhenUsed="1" w:qFormat="1"/>
    <w:lsdException w:name="Title" w:uiPriority="10"/>
    <w:lsdException w:name="Default Paragraph Font" w:uiPriority="1" w:unhideWhenUsed="1"/>
    <w:lsdException w:name="Subtitle" w:uiPriority="11"/>
    <w:lsdException w:name="Strong" w:uiPriority="22" w:qFormat="1"/>
    <w:lsdException w:name="Emphasis" w:uiPriority="20" w:qFormat="1"/>
    <w:lsdException w:name="HTML Top of Form" w:unhideWhenUsed="1"/>
    <w:lsdException w:name="HTML Bottom of Form" w:unhideWhenUsed="1"/>
    <w:lsdException w:name="HTML Acronym" w:uiPriority="0"/>
    <w:lsdException w:name="Normal Table" w:unhideWhenUsed="1"/>
    <w:lsdException w:name="No List" w:unhideWhenUsed="1"/>
    <w:lsdException w:name="Outline List 1" w:uiPriority="0" w:unhideWhenUsed="1"/>
    <w:lsdException w:name="Outline List 2" w:uiPriority="0"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Normal">
    <w:name w:val="Normal"/>
    <w:qFormat/>
    <w:rsid w:val="0093206A"/>
    <w:pPr>
      <w:tabs>
        <w:tab w:val="left" w:pos="431"/>
      </w:tabs>
      <w:overflowPunct w:val="0"/>
      <w:adjustRightInd w:val="0"/>
      <w:snapToGrid w:val="0"/>
      <w:spacing w:line="320" w:lineRule="exact"/>
      <w:jc w:val="both"/>
    </w:pPr>
    <w:rPr>
      <w:snapToGrid w:val="0"/>
      <w:sz w:val="21"/>
    </w:rPr>
  </w:style>
  <w:style w:type="paragraph" w:styleId="Heading1">
    <w:name w:val="heading 1"/>
    <w:aliases w:val="Table_G"/>
    <w:basedOn w:val="Normal"/>
    <w:next w:val="Normal"/>
    <w:link w:val="Heading1Char"/>
    <w:uiPriority w:val="9"/>
    <w:qFormat/>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Heading2">
    <w:name w:val="heading 2"/>
    <w:basedOn w:val="Normal"/>
    <w:next w:val="Normal"/>
    <w:link w:val="Heading2Char"/>
    <w:qFormat/>
    <w:rsid w:val="008B0560"/>
    <w:pPr>
      <w:keepNext/>
      <w:keepLines/>
      <w:spacing w:before="200" w:line="276" w:lineRule="auto"/>
      <w:outlineLvl w:val="1"/>
    </w:pPr>
    <w:rPr>
      <w:rFonts w:eastAsia="Times New Roman"/>
      <w:b/>
      <w:bCs/>
      <w:snapToGrid/>
      <w:color w:val="4F81BD" w:themeColor="accent1"/>
      <w:sz w:val="26"/>
      <w:szCs w:val="26"/>
    </w:rPr>
  </w:style>
  <w:style w:type="paragraph" w:styleId="Heading3">
    <w:name w:val="heading 3"/>
    <w:basedOn w:val="Normal"/>
    <w:next w:val="Normal"/>
    <w:link w:val="Heading3Char"/>
    <w:qFormat/>
    <w:rsid w:val="008B0560"/>
    <w:pPr>
      <w:keepNext/>
      <w:keepLines/>
      <w:spacing w:before="200" w:line="276" w:lineRule="auto"/>
      <w:outlineLvl w:val="2"/>
    </w:pPr>
    <w:rPr>
      <w:rFonts w:eastAsia="Times New Roman"/>
      <w:b/>
      <w:bCs/>
      <w:snapToGrid/>
      <w:color w:val="4F81BD" w:themeColor="accent1"/>
      <w:sz w:val="22"/>
    </w:rPr>
  </w:style>
  <w:style w:type="paragraph" w:styleId="Heading4">
    <w:name w:val="heading 4"/>
    <w:basedOn w:val="Normal"/>
    <w:next w:val="Normal"/>
    <w:link w:val="Heading4Char"/>
    <w:qFormat/>
    <w:rsid w:val="008B0560"/>
    <w:pPr>
      <w:keepNext/>
      <w:keepLines/>
      <w:spacing w:before="200" w:line="276" w:lineRule="auto"/>
      <w:outlineLvl w:val="3"/>
    </w:pPr>
    <w:rPr>
      <w:rFonts w:eastAsia="Times New Roman"/>
      <w:b/>
      <w:bCs/>
      <w:i/>
      <w:iCs/>
      <w:snapToGrid/>
      <w:color w:val="4F81BD" w:themeColor="accent1"/>
      <w:sz w:val="22"/>
    </w:rPr>
  </w:style>
  <w:style w:type="paragraph" w:styleId="Heading5">
    <w:name w:val="heading 5"/>
    <w:basedOn w:val="Normal"/>
    <w:next w:val="Normal"/>
    <w:link w:val="Heading5Char"/>
    <w:qFormat/>
    <w:rsid w:val="008B0560"/>
    <w:pPr>
      <w:keepNext/>
      <w:keepLines/>
      <w:spacing w:before="200" w:line="276" w:lineRule="auto"/>
      <w:outlineLvl w:val="4"/>
    </w:pPr>
    <w:rPr>
      <w:rFonts w:eastAsia="Times New Roman"/>
      <w:snapToGrid/>
      <w:color w:val="243F60" w:themeColor="accent1" w:themeShade="7F"/>
      <w:sz w:val="22"/>
    </w:rPr>
  </w:style>
  <w:style w:type="paragraph" w:styleId="Heading6">
    <w:name w:val="heading 6"/>
    <w:basedOn w:val="Normal"/>
    <w:next w:val="Normal"/>
    <w:link w:val="Heading6Char"/>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Heading7">
    <w:name w:val="heading 7"/>
    <w:basedOn w:val="Normal"/>
    <w:next w:val="Normal"/>
    <w:link w:val="Heading7Char"/>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Heading8">
    <w:name w:val="heading 8"/>
    <w:basedOn w:val="Normal"/>
    <w:next w:val="Normal"/>
    <w:link w:val="Heading8Char"/>
    <w:qFormat/>
    <w:rsid w:val="008B0560"/>
    <w:pPr>
      <w:keepNext/>
      <w:keepLines/>
      <w:spacing w:before="200" w:line="276" w:lineRule="auto"/>
      <w:outlineLvl w:val="7"/>
    </w:pPr>
    <w:rPr>
      <w:rFonts w:eastAsia="Times New Roman"/>
      <w:snapToGrid/>
      <w:color w:val="4F81BD" w:themeColor="accent1"/>
    </w:rPr>
  </w:style>
  <w:style w:type="paragraph" w:styleId="Heading9">
    <w:name w:val="heading 9"/>
    <w:basedOn w:val="Normal"/>
    <w:next w:val="Normal"/>
    <w:link w:val="Heading9Char"/>
    <w:qFormat/>
    <w:rsid w:val="008B0560"/>
    <w:pPr>
      <w:keepNext/>
      <w:keepLines/>
      <w:spacing w:before="200" w:line="276" w:lineRule="auto"/>
      <w:outlineLvl w:val="8"/>
    </w:pPr>
    <w:rPr>
      <w:rFonts w:eastAsia="Times New Roman"/>
      <w:i/>
      <w:iCs/>
      <w:snapToGrid/>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C">
    <w:name w:val="_ H __M_GC"/>
    <w:basedOn w:val="Normal"/>
    <w:next w:val="Normal"/>
    <w:qFormat/>
    <w:rsid w:val="00204B42"/>
    <w:pPr>
      <w:keepNext/>
      <w:keepLines/>
      <w:tabs>
        <w:tab w:val="clear" w:pos="431"/>
        <w:tab w:val="right" w:pos="851"/>
      </w:tabs>
      <w:spacing w:before="240" w:after="240" w:line="440" w:lineRule="exact"/>
      <w:ind w:left="1134" w:right="1134" w:hanging="1134"/>
      <w:outlineLvl w:val="0"/>
    </w:pPr>
    <w:rPr>
      <w:rFonts w:eastAsia="SimHei"/>
      <w:sz w:val="34"/>
      <w:szCs w:val="34"/>
    </w:rPr>
  </w:style>
  <w:style w:type="paragraph" w:customStyle="1" w:styleId="HChGC">
    <w:name w:val="_ H _Ch_GC"/>
    <w:basedOn w:val="Normal"/>
    <w:next w:val="Normal"/>
    <w:qFormat/>
    <w:rsid w:val="00204B42"/>
    <w:pPr>
      <w:keepNext/>
      <w:keepLines/>
      <w:tabs>
        <w:tab w:val="clear" w:pos="431"/>
        <w:tab w:val="right" w:pos="851"/>
      </w:tabs>
      <w:spacing w:before="360" w:after="240" w:line="400" w:lineRule="exact"/>
      <w:ind w:left="1134" w:right="1134" w:hanging="1134"/>
      <w:outlineLvl w:val="1"/>
    </w:pPr>
    <w:rPr>
      <w:rFonts w:eastAsia="SimHei"/>
      <w:sz w:val="28"/>
      <w:szCs w:val="28"/>
    </w:rPr>
  </w:style>
  <w:style w:type="paragraph" w:customStyle="1" w:styleId="H1GC">
    <w:name w:val="_ H_1_GC"/>
    <w:basedOn w:val="Normal"/>
    <w:next w:val="Normal"/>
    <w:qFormat/>
    <w:rsid w:val="00204B42"/>
    <w:pPr>
      <w:keepNext/>
      <w:keepLines/>
      <w:tabs>
        <w:tab w:val="clear" w:pos="431"/>
        <w:tab w:val="right" w:pos="851"/>
      </w:tabs>
      <w:spacing w:before="360" w:after="240"/>
      <w:ind w:left="1134" w:right="1134" w:hanging="1134"/>
      <w:outlineLvl w:val="2"/>
    </w:pPr>
    <w:rPr>
      <w:rFonts w:eastAsia="SimHei"/>
      <w:sz w:val="24"/>
      <w:szCs w:val="24"/>
    </w:rPr>
  </w:style>
  <w:style w:type="paragraph" w:customStyle="1" w:styleId="H23GC">
    <w:name w:val="_ H_2/3_GC"/>
    <w:basedOn w:val="Normal"/>
    <w:next w:val="Normal"/>
    <w:qFormat/>
    <w:rsid w:val="001C3EF2"/>
    <w:pPr>
      <w:keepNext/>
      <w:keepLines/>
      <w:tabs>
        <w:tab w:val="clear" w:pos="431"/>
        <w:tab w:val="right" w:pos="851"/>
      </w:tabs>
      <w:spacing w:before="240" w:after="120"/>
      <w:ind w:left="1134" w:right="1134" w:hanging="1134"/>
      <w:outlineLvl w:val="3"/>
    </w:pPr>
    <w:rPr>
      <w:rFonts w:eastAsia="SimHei"/>
      <w:snapToGrid/>
      <w:sz w:val="22"/>
      <w:szCs w:val="22"/>
    </w:rPr>
  </w:style>
  <w:style w:type="paragraph" w:customStyle="1" w:styleId="H4GC">
    <w:name w:val="_ H_4_GC"/>
    <w:basedOn w:val="Normal"/>
    <w:next w:val="Normal"/>
    <w:qFormat/>
    <w:rsid w:val="00204B42"/>
    <w:pPr>
      <w:keepNext/>
      <w:keepLines/>
      <w:tabs>
        <w:tab w:val="clear" w:pos="431"/>
        <w:tab w:val="right" w:pos="851"/>
      </w:tabs>
      <w:spacing w:before="240" w:after="120"/>
      <w:ind w:left="1134" w:right="1134" w:hanging="1134"/>
      <w:outlineLvl w:val="4"/>
    </w:pPr>
    <w:rPr>
      <w:rFonts w:eastAsia="楷体"/>
      <w:sz w:val="23"/>
      <w:szCs w:val="23"/>
    </w:rPr>
  </w:style>
  <w:style w:type="paragraph" w:customStyle="1" w:styleId="H56GC">
    <w:name w:val="_ H_5/6_GC"/>
    <w:basedOn w:val="Normal"/>
    <w:next w:val="Normal"/>
    <w:qFormat/>
    <w:rsid w:val="00204B42"/>
    <w:pPr>
      <w:keepNext/>
      <w:keepLines/>
      <w:tabs>
        <w:tab w:val="clear" w:pos="431"/>
        <w:tab w:val="right" w:pos="851"/>
      </w:tabs>
      <w:spacing w:before="240" w:after="120"/>
      <w:ind w:left="1134" w:right="1134" w:hanging="1134"/>
      <w:outlineLvl w:val="5"/>
    </w:pPr>
  </w:style>
  <w:style w:type="paragraph" w:customStyle="1" w:styleId="SingleTxtGC">
    <w:name w:val="_ Single Txt_GC"/>
    <w:basedOn w:val="Normal"/>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DefaultParagraphFont"/>
    <w:link w:val="SingleTxtGC"/>
    <w:locked/>
    <w:rsid w:val="00C17349"/>
    <w:rPr>
      <w:snapToGrid w:val="0"/>
      <w:sz w:val="21"/>
      <w:szCs w:val="21"/>
    </w:rPr>
  </w:style>
  <w:style w:type="paragraph" w:customStyle="1" w:styleId="SLGC">
    <w:name w:val="__S_L_GC"/>
    <w:basedOn w:val="Normal"/>
    <w:next w:val="Normal"/>
    <w:qFormat/>
    <w:rsid w:val="00C17349"/>
    <w:pPr>
      <w:keepNext/>
      <w:keepLines/>
      <w:spacing w:before="240" w:after="240" w:line="560" w:lineRule="exact"/>
      <w:ind w:left="1134" w:right="1134"/>
    </w:pPr>
    <w:rPr>
      <w:rFonts w:eastAsia="SimHei"/>
      <w:sz w:val="56"/>
      <w:szCs w:val="56"/>
    </w:rPr>
  </w:style>
  <w:style w:type="paragraph" w:customStyle="1" w:styleId="SMGC">
    <w:name w:val="__S_M_GC"/>
    <w:basedOn w:val="Normal"/>
    <w:next w:val="Normal"/>
    <w:qFormat/>
    <w:rsid w:val="00C17349"/>
    <w:pPr>
      <w:keepNext/>
      <w:keepLines/>
      <w:spacing w:before="240" w:after="240" w:line="400" w:lineRule="exact"/>
      <w:ind w:left="1134" w:right="1134"/>
    </w:pPr>
    <w:rPr>
      <w:rFonts w:eastAsia="SimHei"/>
      <w:sz w:val="40"/>
      <w:szCs w:val="40"/>
    </w:rPr>
  </w:style>
  <w:style w:type="paragraph" w:customStyle="1" w:styleId="SSGC">
    <w:name w:val="__S_S_GC"/>
    <w:basedOn w:val="Normal"/>
    <w:next w:val="Normal"/>
    <w:qFormat/>
    <w:rsid w:val="008B0560"/>
    <w:pPr>
      <w:keepNext/>
      <w:keepLines/>
      <w:spacing w:before="240" w:after="240" w:line="300" w:lineRule="exact"/>
      <w:ind w:left="1134" w:right="1134"/>
    </w:pPr>
    <w:rPr>
      <w:rFonts w:eastAsia="SimHei"/>
      <w:sz w:val="28"/>
    </w:rPr>
  </w:style>
  <w:style w:type="paragraph" w:customStyle="1" w:styleId="XLargeGC">
    <w:name w:val="__XLarge_GC"/>
    <w:basedOn w:val="Normal"/>
    <w:next w:val="Normal"/>
    <w:qFormat/>
    <w:rsid w:val="00C17349"/>
    <w:pPr>
      <w:keepNext/>
      <w:keepLines/>
      <w:spacing w:before="240" w:after="240" w:line="400" w:lineRule="exact"/>
      <w:ind w:left="1134" w:right="1134"/>
    </w:pPr>
    <w:rPr>
      <w:rFonts w:eastAsia="SimHei"/>
      <w:sz w:val="40"/>
      <w:szCs w:val="40"/>
    </w:rPr>
  </w:style>
  <w:style w:type="paragraph" w:customStyle="1" w:styleId="Bullet1GC">
    <w:name w:val="_Bullet 1_GC"/>
    <w:basedOn w:val="Normal"/>
    <w:qFormat/>
    <w:rsid w:val="00C17349"/>
    <w:pPr>
      <w:numPr>
        <w:numId w:val="1"/>
      </w:numPr>
      <w:spacing w:after="120"/>
      <w:ind w:right="1134"/>
    </w:pPr>
  </w:style>
  <w:style w:type="paragraph" w:customStyle="1" w:styleId="Bullet2GC">
    <w:name w:val="_Bullet 2_GC"/>
    <w:basedOn w:val="Normal"/>
    <w:qFormat/>
    <w:rsid w:val="00C17349"/>
    <w:pPr>
      <w:numPr>
        <w:numId w:val="2"/>
      </w:numPr>
      <w:spacing w:after="120"/>
      <w:ind w:right="1134"/>
    </w:pPr>
  </w:style>
  <w:style w:type="paragraph" w:customStyle="1" w:styleId="DashGC">
    <w:name w:val="_Dash_GC"/>
    <w:basedOn w:val="Normal"/>
    <w:qFormat/>
    <w:rsid w:val="00C17349"/>
    <w:pPr>
      <w:numPr>
        <w:numId w:val="3"/>
      </w:numPr>
      <w:spacing w:after="120"/>
      <w:ind w:right="1134"/>
    </w:pPr>
    <w:rPr>
      <w:lang w:val="fr-CH"/>
    </w:rPr>
  </w:style>
  <w:style w:type="paragraph" w:customStyle="1" w:styleId="a">
    <w:name w:val="表数文字"/>
    <w:basedOn w:val="Normal"/>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0">
    <w:name w:val="表中标题"/>
    <w:basedOn w:val="Normal"/>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1">
    <w:name w:val="表中文字"/>
    <w:basedOn w:val="Normal"/>
    <w:qFormat/>
    <w:rsid w:val="00C17349"/>
    <w:pPr>
      <w:tabs>
        <w:tab w:val="left" w:pos="1134"/>
        <w:tab w:val="left" w:pos="1565"/>
        <w:tab w:val="left" w:pos="1996"/>
        <w:tab w:val="left" w:pos="2427"/>
      </w:tabs>
      <w:spacing w:before="40" w:line="240" w:lineRule="atLeast"/>
      <w:ind w:right="113"/>
    </w:pPr>
    <w:rPr>
      <w:sz w:val="18"/>
      <w:szCs w:val="18"/>
    </w:rPr>
  </w:style>
  <w:style w:type="paragraph" w:styleId="FootnoteText">
    <w:name w:val="footnote text"/>
    <w:aliases w:val="5_G"/>
    <w:basedOn w:val="Normal"/>
    <w:link w:val="FootnoteTextChar"/>
    <w:qFormat/>
    <w:rsid w:val="00B423E7"/>
    <w:pPr>
      <w:keepLines/>
      <w:widowControl w:val="0"/>
      <w:tabs>
        <w:tab w:val="right" w:pos="1021"/>
      </w:tabs>
      <w:overflowPunct/>
      <w:spacing w:after="120" w:line="240" w:lineRule="exact"/>
      <w:ind w:left="1134" w:right="1134" w:hanging="1134"/>
    </w:pPr>
    <w:rPr>
      <w:sz w:val="18"/>
      <w:szCs w:val="18"/>
    </w:rPr>
  </w:style>
  <w:style w:type="character" w:customStyle="1" w:styleId="FootnoteTextChar">
    <w:name w:val="Footnote Text Char"/>
    <w:aliases w:val="5_G Char"/>
    <w:basedOn w:val="DefaultParagraphFont"/>
    <w:link w:val="FootnoteText"/>
    <w:rsid w:val="00B423E7"/>
    <w:rPr>
      <w:snapToGrid w:val="0"/>
      <w:sz w:val="18"/>
      <w:szCs w:val="18"/>
    </w:rPr>
  </w:style>
  <w:style w:type="character" w:styleId="FootnoteReference">
    <w:name w:val="footnote reference"/>
    <w:aliases w:val="4_G"/>
    <w:basedOn w:val="DefaultParagraphFont"/>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rPr>
  </w:style>
  <w:style w:type="paragraph" w:customStyle="1" w:styleId="a2">
    <w:name w:val="目录段页次"/>
    <w:basedOn w:val="Normal"/>
    <w:qFormat/>
    <w:rsid w:val="0077079A"/>
    <w:pPr>
      <w:tabs>
        <w:tab w:val="clear" w:pos="431"/>
        <w:tab w:val="right" w:pos="851"/>
        <w:tab w:val="left" w:pos="1134"/>
        <w:tab w:val="left" w:pos="1565"/>
        <w:tab w:val="left" w:pos="1996"/>
        <w:tab w:val="right" w:leader="dot" w:pos="7655"/>
        <w:tab w:val="right" w:pos="8789"/>
        <w:tab w:val="right" w:pos="9554"/>
      </w:tabs>
      <w:ind w:left="1134" w:right="4253" w:hanging="1134"/>
    </w:pPr>
    <w:rPr>
      <w:szCs w:val="21"/>
    </w:rPr>
  </w:style>
  <w:style w:type="paragraph" w:customStyle="1" w:styleId="a3">
    <w:name w:val="目录页次"/>
    <w:basedOn w:val="Normal"/>
    <w:qFormat/>
    <w:rsid w:val="0077079A"/>
    <w:pPr>
      <w:tabs>
        <w:tab w:val="clear" w:pos="431"/>
        <w:tab w:val="right" w:pos="851"/>
        <w:tab w:val="left" w:pos="1134"/>
        <w:tab w:val="left" w:pos="1565"/>
        <w:tab w:val="left" w:pos="1996"/>
        <w:tab w:val="right" w:leader="dot" w:pos="8789"/>
        <w:tab w:val="right" w:pos="9554"/>
      </w:tabs>
      <w:ind w:left="1134" w:right="3119" w:hanging="1134"/>
    </w:pPr>
    <w:rPr>
      <w:szCs w:val="21"/>
    </w:rPr>
  </w:style>
  <w:style w:type="paragraph" w:customStyle="1" w:styleId="a4">
    <w:name w:val="缩进正文"/>
    <w:basedOn w:val="Normal"/>
    <w:qFormat/>
    <w:rsid w:val="00427F63"/>
    <w:pPr>
      <w:tabs>
        <w:tab w:val="left" w:pos="1134"/>
        <w:tab w:val="left" w:pos="1565"/>
        <w:tab w:val="left" w:pos="1996"/>
        <w:tab w:val="left" w:pos="2427"/>
      </w:tabs>
      <w:ind w:left="1565" w:right="1134"/>
    </w:pPr>
    <w:rPr>
      <w:szCs w:val="21"/>
    </w:rPr>
  </w:style>
  <w:style w:type="paragraph" w:styleId="EndnoteText">
    <w:name w:val="endnote text"/>
    <w:aliases w:val="2_G"/>
    <w:basedOn w:val="FootnoteText"/>
    <w:link w:val="EndnoteTextChar"/>
    <w:qFormat/>
    <w:rsid w:val="00B423E7"/>
  </w:style>
  <w:style w:type="character" w:customStyle="1" w:styleId="EndnoteTextChar">
    <w:name w:val="Endnote Text Char"/>
    <w:aliases w:val="2_G Char"/>
    <w:basedOn w:val="DefaultParagraphFont"/>
    <w:link w:val="EndnoteText"/>
    <w:rsid w:val="00B423E7"/>
    <w:rPr>
      <w:snapToGrid w:val="0"/>
      <w:sz w:val="18"/>
      <w:szCs w:val="18"/>
    </w:rPr>
  </w:style>
  <w:style w:type="character" w:styleId="EndnoteReference">
    <w:name w:val="endnote reference"/>
    <w:aliases w:val="1_G"/>
    <w:basedOn w:val="FootnoteReference"/>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rPr>
  </w:style>
  <w:style w:type="paragraph" w:customStyle="1" w:styleId="a5">
    <w:name w:val="悬挂"/>
    <w:basedOn w:val="Normal"/>
    <w:qFormat/>
    <w:rsid w:val="00D97B98"/>
    <w:pPr>
      <w:tabs>
        <w:tab w:val="left" w:pos="1134"/>
        <w:tab w:val="left" w:pos="1565"/>
        <w:tab w:val="left" w:pos="1996"/>
        <w:tab w:val="left" w:pos="2427"/>
      </w:tabs>
      <w:spacing w:after="120"/>
      <w:ind w:left="1565" w:right="1134" w:hanging="431"/>
    </w:pPr>
  </w:style>
  <w:style w:type="paragraph" w:styleId="Footer">
    <w:name w:val="footer"/>
    <w:aliases w:val="3_G"/>
    <w:basedOn w:val="Normal"/>
    <w:link w:val="FooterChar"/>
    <w:uiPriority w:val="99"/>
    <w:qFormat/>
    <w:rsid w:val="007E5DAD"/>
    <w:pPr>
      <w:overflowPunct/>
      <w:spacing w:line="240" w:lineRule="auto"/>
      <w:jc w:val="left"/>
    </w:pPr>
    <w:rPr>
      <w:rFonts w:eastAsia="Times New Roman"/>
      <w:sz w:val="16"/>
      <w:szCs w:val="16"/>
      <w:lang w:val="en-GB" w:eastAsia="en-US"/>
    </w:rPr>
  </w:style>
  <w:style w:type="character" w:customStyle="1" w:styleId="FooterChar">
    <w:name w:val="Footer Char"/>
    <w:aliases w:val="3_G Char"/>
    <w:basedOn w:val="DefaultParagraphFont"/>
    <w:link w:val="Footer"/>
    <w:uiPriority w:val="99"/>
    <w:rsid w:val="007E5DAD"/>
    <w:rPr>
      <w:rFonts w:eastAsia="Times New Roman"/>
      <w:snapToGrid w:val="0"/>
      <w:sz w:val="16"/>
      <w:szCs w:val="16"/>
      <w:lang w:val="en-GB" w:eastAsia="en-US"/>
    </w:rPr>
  </w:style>
  <w:style w:type="character" w:styleId="PageNumber">
    <w:name w:val="page number"/>
    <w:aliases w:val="7_G"/>
    <w:basedOn w:val="DefaultParagraphFont"/>
    <w:uiPriority w:val="99"/>
    <w:qFormat/>
    <w:rsid w:val="007E5DAD"/>
    <w:rPr>
      <w:rFonts w:ascii="Times New Roman" w:hAnsi="Times New Roman"/>
      <w:b/>
      <w:i w:val="0"/>
      <w:snapToGrid w:val="0"/>
      <w:spacing w:val="0"/>
      <w:kern w:val="0"/>
      <w:sz w:val="18"/>
    </w:rPr>
  </w:style>
  <w:style w:type="paragraph" w:styleId="Header">
    <w:name w:val="header"/>
    <w:aliases w:val="6_G"/>
    <w:basedOn w:val="Normal"/>
    <w:link w:val="HeaderChar"/>
    <w:uiPriority w:val="99"/>
    <w:qFormat/>
    <w:rsid w:val="007E5DAD"/>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HeaderChar">
    <w:name w:val="Header Char"/>
    <w:aliases w:val="6_G Char"/>
    <w:basedOn w:val="DefaultParagraphFont"/>
    <w:link w:val="Header"/>
    <w:uiPriority w:val="99"/>
    <w:rsid w:val="007E5DAD"/>
    <w:rPr>
      <w:rFonts w:eastAsia="Times New Roman"/>
      <w:b/>
      <w:snapToGrid w:val="0"/>
      <w:sz w:val="18"/>
      <w:szCs w:val="18"/>
      <w:lang w:val="en-GB" w:eastAsia="en-US"/>
    </w:rPr>
  </w:style>
  <w:style w:type="character" w:customStyle="1" w:styleId="Heading1Char">
    <w:name w:val="Heading 1 Char"/>
    <w:aliases w:val="Table_G Char"/>
    <w:basedOn w:val="DefaultParagraphFont"/>
    <w:link w:val="Heading1"/>
    <w:uiPriority w:val="9"/>
    <w:rsid w:val="00153E86"/>
    <w:rPr>
      <w:rFonts w:ascii="Times New Roman" w:eastAsia="Times New Roman" w:hAnsi="Times New Roman" w:cs="Times New Roman"/>
      <w:b/>
      <w:bCs/>
      <w:color w:val="365F91" w:themeColor="accent1" w:themeShade="BF"/>
      <w:sz w:val="28"/>
      <w:szCs w:val="28"/>
    </w:rPr>
  </w:style>
  <w:style w:type="character" w:customStyle="1" w:styleId="Heading2Char">
    <w:name w:val="Heading 2 Char"/>
    <w:basedOn w:val="DefaultParagraphFont"/>
    <w:link w:val="Heading2"/>
    <w:rsid w:val="00153E86"/>
    <w:rPr>
      <w:rFonts w:ascii="Times New Roman" w:eastAsia="Times New Roman" w:hAnsi="Times New Roman" w:cs="Times New Roman"/>
      <w:b/>
      <w:bCs/>
      <w:color w:val="4F81BD" w:themeColor="accent1"/>
      <w:sz w:val="26"/>
      <w:szCs w:val="26"/>
    </w:rPr>
  </w:style>
  <w:style w:type="character" w:customStyle="1" w:styleId="Heading3Char">
    <w:name w:val="Heading 3 Char"/>
    <w:basedOn w:val="DefaultParagraphFont"/>
    <w:link w:val="Heading3"/>
    <w:rsid w:val="00153E86"/>
    <w:rPr>
      <w:rFonts w:ascii="Times New Roman" w:eastAsia="Times New Roman" w:hAnsi="Times New Roman" w:cs="Times New Roman"/>
      <w:b/>
      <w:bCs/>
      <w:color w:val="4F81BD" w:themeColor="accent1"/>
    </w:rPr>
  </w:style>
  <w:style w:type="character" w:customStyle="1" w:styleId="Heading4Char">
    <w:name w:val="Heading 4 Char"/>
    <w:basedOn w:val="DefaultParagraphFont"/>
    <w:link w:val="Heading4"/>
    <w:rsid w:val="00153E86"/>
    <w:rPr>
      <w:rFonts w:ascii="Times New Roman" w:eastAsia="Times New Roman" w:hAnsi="Times New Roman" w:cs="Times New Roman"/>
      <w:b/>
      <w:bCs/>
      <w:i/>
      <w:iCs/>
      <w:color w:val="4F81BD" w:themeColor="accent1"/>
    </w:rPr>
  </w:style>
  <w:style w:type="character" w:customStyle="1" w:styleId="Heading5Char">
    <w:name w:val="Heading 5 Char"/>
    <w:basedOn w:val="DefaultParagraphFont"/>
    <w:link w:val="Heading5"/>
    <w:rsid w:val="00153E86"/>
    <w:rPr>
      <w:rFonts w:ascii="Times New Roman" w:eastAsia="Times New Roman" w:hAnsi="Times New Roman" w:cs="Times New Roman"/>
      <w:color w:val="243F60" w:themeColor="accent1" w:themeShade="7F"/>
    </w:rPr>
  </w:style>
  <w:style w:type="character" w:customStyle="1" w:styleId="Heading6Char">
    <w:name w:val="Heading 6 Char"/>
    <w:basedOn w:val="DefaultParagraphFont"/>
    <w:link w:val="Heading6"/>
    <w:rsid w:val="00153E86"/>
    <w:rPr>
      <w:rFonts w:ascii="Times New Roman" w:eastAsia="Times New Roman" w:hAnsi="Times New Roman" w:cs="Times New Roman"/>
      <w:i/>
      <w:iCs/>
      <w:color w:val="243F60" w:themeColor="accent1" w:themeShade="7F"/>
    </w:rPr>
  </w:style>
  <w:style w:type="character" w:customStyle="1" w:styleId="Heading7Char">
    <w:name w:val="Heading 7 Char"/>
    <w:basedOn w:val="DefaultParagraphFont"/>
    <w:link w:val="Heading7"/>
    <w:rsid w:val="00153E86"/>
    <w:rPr>
      <w:rFonts w:ascii="Times New Roman" w:eastAsia="Times New Roman" w:hAnsi="Times New Roman" w:cs="Times New Roman"/>
      <w:i/>
      <w:iCs/>
      <w:color w:val="404040" w:themeColor="text1" w:themeTint="BF"/>
    </w:rPr>
  </w:style>
  <w:style w:type="character" w:customStyle="1" w:styleId="Heading8Char">
    <w:name w:val="Heading 8 Char"/>
    <w:basedOn w:val="DefaultParagraphFont"/>
    <w:link w:val="Heading8"/>
    <w:rsid w:val="00153E86"/>
    <w:rPr>
      <w:rFonts w:ascii="Times New Roman" w:eastAsia="Times New Roman" w:hAnsi="Times New Roman" w:cs="Times New Roman"/>
      <w:color w:val="4F81BD" w:themeColor="accent1"/>
      <w:sz w:val="20"/>
      <w:szCs w:val="20"/>
    </w:rPr>
  </w:style>
  <w:style w:type="character" w:customStyle="1" w:styleId="Heading9Char">
    <w:name w:val="Heading 9 Char"/>
    <w:basedOn w:val="DefaultParagraphFont"/>
    <w:link w:val="Heading9"/>
    <w:rsid w:val="00153E86"/>
    <w:rPr>
      <w:rFonts w:ascii="Times New Roman" w:eastAsia="Times New Roman" w:hAnsi="Times New Roman" w:cs="Times New Roman"/>
      <w:i/>
      <w:iCs/>
      <w:color w:val="404040" w:themeColor="text1" w:themeTint="BF"/>
      <w:sz w:val="20"/>
      <w:szCs w:val="20"/>
    </w:rPr>
  </w:style>
  <w:style w:type="paragraph" w:styleId="BalloonText">
    <w:name w:val="Balloon Text"/>
    <w:basedOn w:val="Normal"/>
    <w:link w:val="BalloonTextChar"/>
    <w:uiPriority w:val="99"/>
    <w:semiHidden/>
    <w:unhideWhenUsed/>
    <w:rsid w:val="0093206A"/>
    <w:pPr>
      <w:spacing w:line="240" w:lineRule="auto"/>
    </w:pPr>
    <w:rPr>
      <w:sz w:val="18"/>
      <w:szCs w:val="18"/>
    </w:rPr>
  </w:style>
  <w:style w:type="character" w:customStyle="1" w:styleId="BalloonTextChar">
    <w:name w:val="Balloon Text Char"/>
    <w:basedOn w:val="DefaultParagraphFont"/>
    <w:link w:val="BalloonText"/>
    <w:uiPriority w:val="99"/>
    <w:semiHidden/>
    <w:rsid w:val="0093206A"/>
    <w:rPr>
      <w:snapToGrid w:val="0"/>
      <w:sz w:val="18"/>
      <w:szCs w:val="18"/>
    </w:rPr>
  </w:style>
  <w:style w:type="character" w:styleId="Hyperlink">
    <w:name w:val="Hyperlink"/>
    <w:basedOn w:val="DefaultParagraphFont"/>
    <w:uiPriority w:val="99"/>
    <w:rsid w:val="0093206A"/>
    <w:rPr>
      <w:color w:val="0000FF" w:themeColor="hyperlink"/>
      <w:u w:val="none"/>
    </w:rPr>
  </w:style>
  <w:style w:type="character" w:styleId="FollowedHyperlink">
    <w:name w:val="FollowedHyperlink"/>
    <w:basedOn w:val="DefaultParagraphFont"/>
    <w:uiPriority w:val="99"/>
    <w:rsid w:val="0093206A"/>
    <w:rPr>
      <w:color w:val="0000FF"/>
      <w:u w:val="none"/>
    </w:rPr>
  </w:style>
  <w:style w:type="paragraph" w:customStyle="1" w:styleId="HMG">
    <w:name w:val="_ H __M_G"/>
    <w:basedOn w:val="Normal"/>
    <w:next w:val="Normal"/>
    <w:rsid w:val="00244AF4"/>
    <w:pPr>
      <w:keepNext/>
      <w:keepLines/>
      <w:tabs>
        <w:tab w:val="clear" w:pos="431"/>
        <w:tab w:val="right" w:pos="851"/>
      </w:tabs>
      <w:suppressAutoHyphens/>
      <w:overflowPunct/>
      <w:adjustRightInd/>
      <w:snapToGrid/>
      <w:spacing w:before="240" w:after="240" w:line="360" w:lineRule="exact"/>
      <w:ind w:left="1134" w:right="1134" w:hanging="1134"/>
      <w:jc w:val="left"/>
    </w:pPr>
    <w:rPr>
      <w:b/>
      <w:snapToGrid/>
      <w:sz w:val="34"/>
      <w:lang w:val="en-GB" w:eastAsia="en-US"/>
    </w:rPr>
  </w:style>
  <w:style w:type="paragraph" w:customStyle="1" w:styleId="HChG">
    <w:name w:val="_ H _Ch_G"/>
    <w:basedOn w:val="Normal"/>
    <w:next w:val="Normal"/>
    <w:link w:val="HChGChar"/>
    <w:rsid w:val="00244AF4"/>
    <w:pPr>
      <w:keepNext/>
      <w:keepLines/>
      <w:tabs>
        <w:tab w:val="clear" w:pos="431"/>
        <w:tab w:val="right" w:pos="851"/>
      </w:tabs>
      <w:suppressAutoHyphens/>
      <w:overflowPunct/>
      <w:adjustRightInd/>
      <w:snapToGrid/>
      <w:spacing w:before="360" w:after="240" w:line="300" w:lineRule="exact"/>
      <w:ind w:left="1134" w:right="1134" w:hanging="1134"/>
      <w:jc w:val="left"/>
    </w:pPr>
    <w:rPr>
      <w:b/>
      <w:snapToGrid/>
      <w:sz w:val="28"/>
      <w:lang w:eastAsia="en-US"/>
    </w:rPr>
  </w:style>
  <w:style w:type="paragraph" w:customStyle="1" w:styleId="ParaNoG">
    <w:name w:val="_ParaNo._G"/>
    <w:basedOn w:val="SingleTxtG"/>
    <w:rsid w:val="00244AF4"/>
    <w:pPr>
      <w:numPr>
        <w:numId w:val="9"/>
      </w:numPr>
      <w:tabs>
        <w:tab w:val="clear" w:pos="1"/>
        <w:tab w:val="num" w:pos="1701"/>
      </w:tabs>
      <w:ind w:left="1701" w:hanging="170"/>
    </w:pPr>
  </w:style>
  <w:style w:type="paragraph" w:customStyle="1" w:styleId="SingleTxtG">
    <w:name w:val="_ Single Txt_G"/>
    <w:basedOn w:val="Normal"/>
    <w:link w:val="SingleTxtGChar"/>
    <w:qFormat/>
    <w:rsid w:val="00244AF4"/>
    <w:pPr>
      <w:tabs>
        <w:tab w:val="clear" w:pos="431"/>
      </w:tabs>
      <w:suppressAutoHyphens/>
      <w:overflowPunct/>
      <w:adjustRightInd/>
      <w:snapToGrid/>
      <w:spacing w:after="120" w:line="240" w:lineRule="atLeast"/>
      <w:ind w:left="1134" w:right="1134"/>
    </w:pPr>
    <w:rPr>
      <w:snapToGrid/>
      <w:sz w:val="20"/>
      <w:lang w:eastAsia="en-US"/>
    </w:rPr>
  </w:style>
  <w:style w:type="paragraph" w:customStyle="1" w:styleId="SMG">
    <w:name w:val="__S_M_G"/>
    <w:basedOn w:val="Normal"/>
    <w:next w:val="Normal"/>
    <w:rsid w:val="00244AF4"/>
    <w:pPr>
      <w:keepNext/>
      <w:keepLines/>
      <w:tabs>
        <w:tab w:val="clear" w:pos="431"/>
      </w:tabs>
      <w:suppressAutoHyphens/>
      <w:overflowPunct/>
      <w:adjustRightInd/>
      <w:snapToGrid/>
      <w:spacing w:before="240" w:after="240" w:line="420" w:lineRule="exact"/>
      <w:ind w:left="1134" w:right="1134"/>
      <w:jc w:val="left"/>
    </w:pPr>
    <w:rPr>
      <w:b/>
      <w:snapToGrid/>
      <w:sz w:val="40"/>
      <w:lang w:val="en-GB" w:eastAsia="en-US"/>
    </w:rPr>
  </w:style>
  <w:style w:type="paragraph" w:customStyle="1" w:styleId="SLG">
    <w:name w:val="__S_L_G"/>
    <w:basedOn w:val="Normal"/>
    <w:next w:val="Normal"/>
    <w:rsid w:val="00244AF4"/>
    <w:pPr>
      <w:keepNext/>
      <w:keepLines/>
      <w:tabs>
        <w:tab w:val="clear" w:pos="431"/>
      </w:tabs>
      <w:suppressAutoHyphens/>
      <w:overflowPunct/>
      <w:adjustRightInd/>
      <w:snapToGrid/>
      <w:spacing w:before="240" w:after="240" w:line="580" w:lineRule="exact"/>
      <w:ind w:left="1134" w:right="1134"/>
      <w:jc w:val="left"/>
    </w:pPr>
    <w:rPr>
      <w:b/>
      <w:snapToGrid/>
      <w:sz w:val="56"/>
      <w:lang w:val="en-GB" w:eastAsia="en-US"/>
    </w:rPr>
  </w:style>
  <w:style w:type="paragraph" w:customStyle="1" w:styleId="SSG">
    <w:name w:val="__S_S_G"/>
    <w:basedOn w:val="Normal"/>
    <w:next w:val="Normal"/>
    <w:rsid w:val="00244AF4"/>
    <w:pPr>
      <w:keepNext/>
      <w:keepLines/>
      <w:tabs>
        <w:tab w:val="clear" w:pos="431"/>
      </w:tabs>
      <w:suppressAutoHyphens/>
      <w:overflowPunct/>
      <w:adjustRightInd/>
      <w:snapToGrid/>
      <w:spacing w:before="240" w:after="240" w:line="300" w:lineRule="exact"/>
      <w:ind w:left="1134" w:right="1134"/>
      <w:jc w:val="left"/>
    </w:pPr>
    <w:rPr>
      <w:b/>
      <w:snapToGrid/>
      <w:sz w:val="28"/>
      <w:lang w:val="en-GB" w:eastAsia="en-US"/>
    </w:rPr>
  </w:style>
  <w:style w:type="paragraph" w:customStyle="1" w:styleId="XLargeG">
    <w:name w:val="__XLarge_G"/>
    <w:basedOn w:val="Normal"/>
    <w:next w:val="Normal"/>
    <w:rsid w:val="00244AF4"/>
    <w:pPr>
      <w:keepNext/>
      <w:keepLines/>
      <w:tabs>
        <w:tab w:val="clear" w:pos="431"/>
      </w:tabs>
      <w:suppressAutoHyphens/>
      <w:overflowPunct/>
      <w:adjustRightInd/>
      <w:snapToGrid/>
      <w:spacing w:before="240" w:after="240" w:line="420" w:lineRule="exact"/>
      <w:ind w:left="1134" w:right="1134"/>
      <w:jc w:val="left"/>
    </w:pPr>
    <w:rPr>
      <w:b/>
      <w:snapToGrid/>
      <w:sz w:val="40"/>
      <w:lang w:val="en-GB" w:eastAsia="en-US"/>
    </w:rPr>
  </w:style>
  <w:style w:type="paragraph" w:customStyle="1" w:styleId="Bullet1G">
    <w:name w:val="_Bullet 1_G"/>
    <w:basedOn w:val="Normal"/>
    <w:rsid w:val="00244AF4"/>
    <w:pPr>
      <w:numPr>
        <w:numId w:val="5"/>
      </w:numPr>
      <w:tabs>
        <w:tab w:val="clear" w:pos="431"/>
      </w:tabs>
      <w:suppressAutoHyphens/>
      <w:overflowPunct/>
      <w:adjustRightInd/>
      <w:snapToGrid/>
      <w:spacing w:after="120" w:line="240" w:lineRule="atLeast"/>
      <w:ind w:right="1134"/>
    </w:pPr>
    <w:rPr>
      <w:snapToGrid/>
      <w:sz w:val="20"/>
      <w:lang w:val="en-GB" w:eastAsia="en-US"/>
    </w:rPr>
  </w:style>
  <w:style w:type="table" w:styleId="TableGrid">
    <w:name w:val="Table Grid"/>
    <w:basedOn w:val="TableNormal"/>
    <w:rsid w:val="00244AF4"/>
    <w:pPr>
      <w:suppressAutoHyphens/>
      <w:spacing w:line="240" w:lineRule="atLeast"/>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CommentReference">
    <w:name w:val="annotation reference"/>
    <w:uiPriority w:val="99"/>
    <w:semiHidden/>
    <w:rsid w:val="00244AF4"/>
    <w:rPr>
      <w:sz w:val="16"/>
      <w:szCs w:val="16"/>
    </w:rPr>
  </w:style>
  <w:style w:type="paragraph" w:styleId="CommentText">
    <w:name w:val="annotation text"/>
    <w:basedOn w:val="Normal"/>
    <w:link w:val="CommentTextChar"/>
    <w:uiPriority w:val="99"/>
    <w:rsid w:val="00244AF4"/>
    <w:pPr>
      <w:tabs>
        <w:tab w:val="clear" w:pos="431"/>
      </w:tabs>
      <w:overflowPunct/>
      <w:adjustRightInd/>
      <w:snapToGrid/>
      <w:spacing w:line="240" w:lineRule="auto"/>
      <w:jc w:val="left"/>
    </w:pPr>
    <w:rPr>
      <w:snapToGrid/>
      <w:sz w:val="20"/>
      <w:lang w:val="en-GB" w:eastAsia="en-US"/>
    </w:rPr>
  </w:style>
  <w:style w:type="character" w:customStyle="1" w:styleId="CommentTextChar">
    <w:name w:val="Comment Text Char"/>
    <w:basedOn w:val="DefaultParagraphFont"/>
    <w:link w:val="CommentText"/>
    <w:uiPriority w:val="99"/>
    <w:rsid w:val="00244AF4"/>
    <w:rPr>
      <w:lang w:val="en-GB" w:eastAsia="en-US"/>
    </w:rPr>
  </w:style>
  <w:style w:type="paragraph" w:styleId="CommentSubject">
    <w:name w:val="annotation subject"/>
    <w:basedOn w:val="CommentText"/>
    <w:next w:val="CommentText"/>
    <w:link w:val="CommentSubjectChar"/>
    <w:uiPriority w:val="99"/>
    <w:semiHidden/>
    <w:rsid w:val="00244AF4"/>
    <w:rPr>
      <w:b/>
      <w:bCs/>
      <w:lang/>
    </w:rPr>
  </w:style>
  <w:style w:type="character" w:customStyle="1" w:styleId="CommentSubjectChar">
    <w:name w:val="Comment Subject Char"/>
    <w:basedOn w:val="CommentTextChar"/>
    <w:link w:val="CommentSubject"/>
    <w:uiPriority w:val="99"/>
    <w:semiHidden/>
    <w:rsid w:val="00244AF4"/>
    <w:rPr>
      <w:b/>
      <w:bCs/>
      <w:lang w:eastAsia="en-US"/>
    </w:rPr>
  </w:style>
  <w:style w:type="paragraph" w:customStyle="1" w:styleId="Bullet2G">
    <w:name w:val="_Bullet 2_G"/>
    <w:basedOn w:val="Normal"/>
    <w:rsid w:val="00244AF4"/>
    <w:pPr>
      <w:numPr>
        <w:numId w:val="6"/>
      </w:numPr>
      <w:tabs>
        <w:tab w:val="clear" w:pos="431"/>
      </w:tabs>
      <w:suppressAutoHyphens/>
      <w:overflowPunct/>
      <w:adjustRightInd/>
      <w:snapToGrid/>
      <w:spacing w:after="120" w:line="240" w:lineRule="atLeast"/>
      <w:ind w:right="1134"/>
    </w:pPr>
    <w:rPr>
      <w:snapToGrid/>
      <w:sz w:val="20"/>
      <w:lang w:val="en-GB" w:eastAsia="en-US"/>
    </w:rPr>
  </w:style>
  <w:style w:type="paragraph" w:customStyle="1" w:styleId="H1G">
    <w:name w:val="_ H_1_G"/>
    <w:basedOn w:val="Normal"/>
    <w:next w:val="Normal"/>
    <w:rsid w:val="00244AF4"/>
    <w:pPr>
      <w:keepNext/>
      <w:keepLines/>
      <w:tabs>
        <w:tab w:val="clear" w:pos="431"/>
        <w:tab w:val="right" w:pos="851"/>
      </w:tabs>
      <w:suppressAutoHyphens/>
      <w:overflowPunct/>
      <w:adjustRightInd/>
      <w:snapToGrid/>
      <w:spacing w:before="360" w:after="240" w:line="270" w:lineRule="exact"/>
      <w:ind w:left="1134" w:right="1134" w:hanging="1134"/>
      <w:jc w:val="left"/>
    </w:pPr>
    <w:rPr>
      <w:b/>
      <w:snapToGrid/>
      <w:sz w:val="24"/>
      <w:lang w:val="en-GB" w:eastAsia="en-US"/>
    </w:rPr>
  </w:style>
  <w:style w:type="paragraph" w:customStyle="1" w:styleId="H23G">
    <w:name w:val="_ H_2/3_G"/>
    <w:basedOn w:val="Normal"/>
    <w:next w:val="Normal"/>
    <w:rsid w:val="00244AF4"/>
    <w:pPr>
      <w:keepNext/>
      <w:keepLines/>
      <w:tabs>
        <w:tab w:val="clear" w:pos="431"/>
        <w:tab w:val="right" w:pos="851"/>
      </w:tabs>
      <w:suppressAutoHyphens/>
      <w:overflowPunct/>
      <w:adjustRightInd/>
      <w:snapToGrid/>
      <w:spacing w:before="240" w:after="120" w:line="240" w:lineRule="exact"/>
      <w:ind w:left="1134" w:right="1134" w:hanging="1134"/>
      <w:jc w:val="left"/>
    </w:pPr>
    <w:rPr>
      <w:b/>
      <w:snapToGrid/>
      <w:sz w:val="20"/>
      <w:lang w:val="en-GB" w:eastAsia="en-US"/>
    </w:rPr>
  </w:style>
  <w:style w:type="paragraph" w:customStyle="1" w:styleId="H4G">
    <w:name w:val="_ H_4_G"/>
    <w:basedOn w:val="Normal"/>
    <w:next w:val="Normal"/>
    <w:link w:val="H4GChar"/>
    <w:rsid w:val="00244AF4"/>
    <w:pPr>
      <w:keepNext/>
      <w:keepLines/>
      <w:tabs>
        <w:tab w:val="clear" w:pos="431"/>
        <w:tab w:val="right" w:pos="851"/>
      </w:tabs>
      <w:suppressAutoHyphens/>
      <w:overflowPunct/>
      <w:adjustRightInd/>
      <w:snapToGrid/>
      <w:spacing w:before="240" w:after="120" w:line="240" w:lineRule="exact"/>
      <w:ind w:left="1134" w:right="1134" w:hanging="1134"/>
      <w:jc w:val="left"/>
    </w:pPr>
    <w:rPr>
      <w:i/>
      <w:snapToGrid/>
      <w:sz w:val="20"/>
      <w:lang w:eastAsia="en-US"/>
    </w:rPr>
  </w:style>
  <w:style w:type="paragraph" w:customStyle="1" w:styleId="H56G">
    <w:name w:val="_ H_5/6_G"/>
    <w:basedOn w:val="Normal"/>
    <w:next w:val="Normal"/>
    <w:rsid w:val="00244AF4"/>
    <w:pPr>
      <w:keepNext/>
      <w:keepLines/>
      <w:tabs>
        <w:tab w:val="clear" w:pos="431"/>
        <w:tab w:val="right" w:pos="851"/>
      </w:tabs>
      <w:suppressAutoHyphens/>
      <w:overflowPunct/>
      <w:adjustRightInd/>
      <w:snapToGrid/>
      <w:spacing w:before="240" w:after="120" w:line="240" w:lineRule="exact"/>
      <w:ind w:left="1134" w:right="1134" w:hanging="1134"/>
      <w:jc w:val="left"/>
    </w:pPr>
    <w:rPr>
      <w:snapToGrid/>
      <w:sz w:val="20"/>
      <w:lang w:val="en-GB" w:eastAsia="en-US"/>
    </w:rPr>
  </w:style>
  <w:style w:type="numbering" w:styleId="111111">
    <w:name w:val="Outline List 2"/>
    <w:basedOn w:val="NoList"/>
    <w:semiHidden/>
    <w:rsid w:val="00244AF4"/>
    <w:pPr>
      <w:numPr>
        <w:numId w:val="7"/>
      </w:numPr>
    </w:pPr>
  </w:style>
  <w:style w:type="numbering" w:styleId="1ai">
    <w:name w:val="Outline List 1"/>
    <w:basedOn w:val="NoList"/>
    <w:semiHidden/>
    <w:rsid w:val="00244AF4"/>
    <w:pPr>
      <w:numPr>
        <w:numId w:val="8"/>
      </w:numPr>
    </w:pPr>
  </w:style>
  <w:style w:type="paragraph" w:styleId="NormalWeb">
    <w:name w:val="Normal (Web)"/>
    <w:basedOn w:val="Normal"/>
    <w:uiPriority w:val="99"/>
    <w:semiHidden/>
    <w:unhideWhenUsed/>
    <w:rsid w:val="00244AF4"/>
    <w:pPr>
      <w:tabs>
        <w:tab w:val="clear" w:pos="431"/>
      </w:tabs>
      <w:overflowPunct/>
      <w:adjustRightInd/>
      <w:snapToGrid/>
      <w:spacing w:before="100" w:beforeAutospacing="1" w:after="100" w:afterAutospacing="1" w:line="240" w:lineRule="auto"/>
      <w:jc w:val="left"/>
    </w:pPr>
    <w:rPr>
      <w:snapToGrid/>
      <w:sz w:val="24"/>
      <w:szCs w:val="24"/>
      <w:lang w:val="nl-BE" w:eastAsia="nl-BE"/>
    </w:rPr>
  </w:style>
  <w:style w:type="paragraph" w:customStyle="1" w:styleId="Listenabsatz">
    <w:name w:val="Listenabsatz"/>
    <w:basedOn w:val="Normal"/>
    <w:qFormat/>
    <w:rsid w:val="00244AF4"/>
    <w:pPr>
      <w:tabs>
        <w:tab w:val="clear" w:pos="431"/>
      </w:tabs>
      <w:overflowPunct/>
      <w:adjustRightInd/>
      <w:snapToGrid/>
      <w:spacing w:line="240" w:lineRule="auto"/>
      <w:ind w:left="708"/>
      <w:jc w:val="left"/>
    </w:pPr>
    <w:rPr>
      <w:snapToGrid/>
      <w:sz w:val="24"/>
      <w:szCs w:val="24"/>
      <w:lang w:val="en-GB" w:eastAsia="en-US"/>
    </w:rPr>
  </w:style>
  <w:style w:type="paragraph" w:customStyle="1" w:styleId="berarbeitung">
    <w:name w:val="Überarbeitung"/>
    <w:hidden/>
    <w:semiHidden/>
    <w:rsid w:val="00244AF4"/>
    <w:rPr>
      <w:sz w:val="24"/>
      <w:szCs w:val="24"/>
      <w:lang w:val="en-GB" w:eastAsia="en-US"/>
    </w:rPr>
  </w:style>
  <w:style w:type="paragraph" w:customStyle="1" w:styleId="ColorfulList-Accent11">
    <w:name w:val="Colorful List - Accent 11"/>
    <w:basedOn w:val="Normal"/>
    <w:qFormat/>
    <w:rsid w:val="00244AF4"/>
    <w:pPr>
      <w:tabs>
        <w:tab w:val="clear" w:pos="431"/>
      </w:tabs>
      <w:overflowPunct/>
      <w:adjustRightInd/>
      <w:snapToGrid/>
      <w:spacing w:after="200" w:line="240" w:lineRule="auto"/>
      <w:ind w:left="720"/>
      <w:contextualSpacing/>
      <w:jc w:val="left"/>
    </w:pPr>
    <w:rPr>
      <w:snapToGrid/>
      <w:sz w:val="24"/>
      <w:szCs w:val="24"/>
      <w:lang w:val="en-GB" w:eastAsia="en-US"/>
    </w:rPr>
  </w:style>
  <w:style w:type="paragraph" w:customStyle="1" w:styleId="Default">
    <w:name w:val="Default"/>
    <w:rsid w:val="00244AF4"/>
    <w:pPr>
      <w:autoSpaceDE w:val="0"/>
      <w:autoSpaceDN w:val="0"/>
      <w:adjustRightInd w:val="0"/>
    </w:pPr>
    <w:rPr>
      <w:rFonts w:eastAsia="Calibri"/>
      <w:color w:val="000000"/>
      <w:sz w:val="24"/>
      <w:szCs w:val="24"/>
      <w:lang w:val="nl-BE" w:eastAsia="en-US"/>
    </w:rPr>
  </w:style>
  <w:style w:type="paragraph" w:styleId="TOC1">
    <w:name w:val="toc 1"/>
    <w:basedOn w:val="Normal"/>
    <w:next w:val="Normal"/>
    <w:autoRedefine/>
    <w:uiPriority w:val="39"/>
    <w:rsid w:val="00244AF4"/>
    <w:pPr>
      <w:tabs>
        <w:tab w:val="clear" w:pos="431"/>
      </w:tabs>
      <w:overflowPunct/>
      <w:adjustRightInd/>
      <w:snapToGrid/>
      <w:spacing w:before="120" w:line="240" w:lineRule="auto"/>
      <w:jc w:val="left"/>
    </w:pPr>
    <w:rPr>
      <w:b/>
      <w:snapToGrid/>
      <w:sz w:val="24"/>
      <w:szCs w:val="24"/>
      <w:lang w:val="en-GB" w:eastAsia="en-US"/>
    </w:rPr>
  </w:style>
  <w:style w:type="paragraph" w:styleId="TOC2">
    <w:name w:val="toc 2"/>
    <w:basedOn w:val="Normal"/>
    <w:next w:val="Normal"/>
    <w:autoRedefine/>
    <w:uiPriority w:val="39"/>
    <w:rsid w:val="00244AF4"/>
    <w:pPr>
      <w:tabs>
        <w:tab w:val="clear" w:pos="431"/>
      </w:tabs>
      <w:overflowPunct/>
      <w:adjustRightInd/>
      <w:snapToGrid/>
      <w:spacing w:line="240" w:lineRule="auto"/>
      <w:ind w:left="240"/>
      <w:jc w:val="left"/>
    </w:pPr>
    <w:rPr>
      <w:b/>
      <w:snapToGrid/>
      <w:sz w:val="22"/>
      <w:szCs w:val="22"/>
      <w:lang w:val="en-GB" w:eastAsia="en-US"/>
    </w:rPr>
  </w:style>
  <w:style w:type="paragraph" w:styleId="TOC3">
    <w:name w:val="toc 3"/>
    <w:basedOn w:val="Normal"/>
    <w:next w:val="Normal"/>
    <w:autoRedefine/>
    <w:uiPriority w:val="39"/>
    <w:rsid w:val="00244AF4"/>
    <w:pPr>
      <w:tabs>
        <w:tab w:val="clear" w:pos="431"/>
      </w:tabs>
      <w:overflowPunct/>
      <w:adjustRightInd/>
      <w:snapToGrid/>
      <w:spacing w:line="240" w:lineRule="auto"/>
      <w:ind w:left="480"/>
      <w:jc w:val="left"/>
    </w:pPr>
    <w:rPr>
      <w:snapToGrid/>
      <w:sz w:val="22"/>
      <w:szCs w:val="22"/>
      <w:lang w:val="en-GB" w:eastAsia="en-US"/>
    </w:rPr>
  </w:style>
  <w:style w:type="character" w:styleId="Emphasis">
    <w:name w:val="Emphasis"/>
    <w:uiPriority w:val="20"/>
    <w:qFormat/>
    <w:rsid w:val="00244AF4"/>
    <w:rPr>
      <w:i/>
      <w:iCs/>
    </w:rPr>
  </w:style>
  <w:style w:type="paragraph" w:styleId="EnvelopeReturn">
    <w:name w:val="envelope return"/>
    <w:basedOn w:val="Normal"/>
    <w:semiHidden/>
    <w:rsid w:val="00244AF4"/>
    <w:pPr>
      <w:tabs>
        <w:tab w:val="clear" w:pos="431"/>
      </w:tabs>
      <w:suppressAutoHyphens/>
      <w:overflowPunct/>
      <w:adjustRightInd/>
      <w:snapToGrid/>
      <w:spacing w:line="240" w:lineRule="atLeast"/>
      <w:jc w:val="left"/>
    </w:pPr>
    <w:rPr>
      <w:rFonts w:ascii="Arial" w:hAnsi="Arial" w:cs="Arial"/>
      <w:snapToGrid/>
      <w:sz w:val="20"/>
      <w:lang w:val="en-GB" w:eastAsia="en-US"/>
    </w:rPr>
  </w:style>
  <w:style w:type="character" w:styleId="HTMLAcronym">
    <w:name w:val="HTML Acronym"/>
    <w:basedOn w:val="DefaultParagraphFont"/>
    <w:semiHidden/>
    <w:rsid w:val="00244AF4"/>
  </w:style>
  <w:style w:type="paragraph" w:customStyle="1" w:styleId="Heading4---">
    <w:name w:val="Heading 4---"/>
    <w:basedOn w:val="Normal"/>
    <w:autoRedefine/>
    <w:qFormat/>
    <w:rsid w:val="00244AF4"/>
    <w:pPr>
      <w:widowControl w:val="0"/>
      <w:tabs>
        <w:tab w:val="clear" w:pos="43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autoSpaceDE w:val="0"/>
      <w:autoSpaceDN w:val="0"/>
      <w:snapToGrid/>
      <w:spacing w:before="160" w:line="360" w:lineRule="auto"/>
      <w:jc w:val="center"/>
    </w:pPr>
    <w:rPr>
      <w:b/>
      <w:iCs/>
      <w:snapToGrid/>
      <w:sz w:val="24"/>
      <w:szCs w:val="24"/>
      <w:lang w:eastAsia="en-US"/>
    </w:rPr>
  </w:style>
  <w:style w:type="paragraph" w:customStyle="1" w:styleId="ColorfulShading-Accent11">
    <w:name w:val="Colorful Shading - Accent 11"/>
    <w:hidden/>
    <w:uiPriority w:val="99"/>
    <w:semiHidden/>
    <w:rsid w:val="00244AF4"/>
    <w:rPr>
      <w:rFonts w:ascii="Calibri" w:eastAsia="Calibri" w:hAnsi="Calibri"/>
      <w:sz w:val="22"/>
      <w:szCs w:val="22"/>
      <w:lang w:val="en-GB" w:eastAsia="en-US"/>
    </w:rPr>
  </w:style>
  <w:style w:type="paragraph" w:customStyle="1" w:styleId="ColorfulList-Accent12">
    <w:name w:val="Colorful List - Accent 12"/>
    <w:basedOn w:val="Normal"/>
    <w:uiPriority w:val="34"/>
    <w:qFormat/>
    <w:rsid w:val="00244AF4"/>
    <w:pPr>
      <w:tabs>
        <w:tab w:val="clear" w:pos="431"/>
      </w:tabs>
      <w:overflowPunct/>
      <w:adjustRightInd/>
      <w:snapToGrid/>
      <w:spacing w:after="200" w:line="276" w:lineRule="auto"/>
      <w:ind w:left="720"/>
      <w:contextualSpacing/>
      <w:jc w:val="left"/>
    </w:pPr>
    <w:rPr>
      <w:rFonts w:ascii="Calibri" w:eastAsia="Calibri" w:hAnsi="Calibri"/>
      <w:snapToGrid/>
      <w:sz w:val="22"/>
      <w:szCs w:val="22"/>
      <w:lang w:val="en-GB" w:eastAsia="en-US"/>
    </w:rPr>
  </w:style>
  <w:style w:type="paragraph" w:customStyle="1" w:styleId="BodyA">
    <w:name w:val="Body A"/>
    <w:rsid w:val="00244AF4"/>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tr-TR" w:eastAsia="tr-TR"/>
    </w:rPr>
  </w:style>
  <w:style w:type="character" w:customStyle="1" w:styleId="EndnoteTextChar1">
    <w:name w:val="Endnote Text Char1"/>
    <w:aliases w:val="2_G Char1"/>
    <w:rsid w:val="00244AF4"/>
    <w:rPr>
      <w:sz w:val="18"/>
      <w:lang w:eastAsia="en-US"/>
    </w:rPr>
  </w:style>
  <w:style w:type="character" w:customStyle="1" w:styleId="SingleTxtGChar">
    <w:name w:val="_ Single Txt_G Char"/>
    <w:link w:val="SingleTxtG"/>
    <w:rsid w:val="00244AF4"/>
    <w:rPr>
      <w:lang w:eastAsia="en-US"/>
    </w:rPr>
  </w:style>
  <w:style w:type="character" w:customStyle="1" w:styleId="5GChar2">
    <w:name w:val="5_G Char2"/>
    <w:aliases w:val="Footnote Text Char Char Char Char Char Char Char Char1,Footnote Text Char Char Char Char Char Char2,Footnote Text Char Char Char Char Char Char Char2,Footnote Text Char2 Char1 Char"/>
    <w:rsid w:val="00244AF4"/>
    <w:rPr>
      <w:sz w:val="18"/>
      <w:lang w:eastAsia="en-US"/>
    </w:rPr>
  </w:style>
  <w:style w:type="character" w:customStyle="1" w:styleId="categorydata2">
    <w:name w:val="category_data2"/>
    <w:rsid w:val="00244AF4"/>
    <w:rPr>
      <w:rFonts w:ascii="Arial" w:hAnsi="Arial" w:cs="Arial" w:hint="default"/>
      <w:color w:val="707070"/>
      <w:spacing w:val="15"/>
      <w:sz w:val="17"/>
      <w:szCs w:val="17"/>
    </w:rPr>
  </w:style>
  <w:style w:type="character" w:customStyle="1" w:styleId="apple-converted-space">
    <w:name w:val="apple-converted-space"/>
    <w:rsid w:val="00244AF4"/>
  </w:style>
  <w:style w:type="character" w:styleId="Strong">
    <w:name w:val="Strong"/>
    <w:uiPriority w:val="22"/>
    <w:qFormat/>
    <w:rsid w:val="00244AF4"/>
    <w:rPr>
      <w:b/>
      <w:bCs/>
    </w:rPr>
  </w:style>
  <w:style w:type="character" w:customStyle="1" w:styleId="spnmessagetext">
    <w:name w:val="spnmessagetext"/>
    <w:rsid w:val="00244AF4"/>
  </w:style>
  <w:style w:type="character" w:customStyle="1" w:styleId="HChGChar">
    <w:name w:val="_ H _Ch_G Char"/>
    <w:link w:val="HChG"/>
    <w:rsid w:val="00244AF4"/>
    <w:rPr>
      <w:b/>
      <w:sz w:val="28"/>
      <w:lang w:eastAsia="en-US"/>
    </w:rPr>
  </w:style>
  <w:style w:type="character" w:customStyle="1" w:styleId="H4GChar">
    <w:name w:val="_ H_4_G Char"/>
    <w:link w:val="H4G"/>
    <w:rsid w:val="00244AF4"/>
    <w:rPr>
      <w:i/>
      <w:lang w:eastAsia="en-US"/>
    </w:rPr>
  </w:style>
  <w:style w:type="character" w:customStyle="1" w:styleId="st">
    <w:name w:val="st"/>
    <w:rsid w:val="00244AF4"/>
  </w:style>
  <w:style w:type="paragraph" w:styleId="EnvelopeAddress">
    <w:name w:val="envelope address"/>
    <w:basedOn w:val="Normal"/>
    <w:semiHidden/>
    <w:rsid w:val="00244AF4"/>
    <w:pPr>
      <w:framePr w:w="7920" w:h="1980" w:hRule="exact" w:hSpace="180" w:wrap="auto" w:hAnchor="page" w:xAlign="center" w:yAlign="bottom"/>
      <w:tabs>
        <w:tab w:val="clear" w:pos="431"/>
      </w:tabs>
      <w:suppressAutoHyphens/>
      <w:overflowPunct/>
      <w:adjustRightInd/>
      <w:snapToGrid/>
      <w:spacing w:line="240" w:lineRule="atLeast"/>
      <w:ind w:left="2880"/>
      <w:jc w:val="left"/>
    </w:pPr>
    <w:rPr>
      <w:rFonts w:ascii="Arial" w:hAnsi="Arial" w:cs="Arial"/>
      <w:snapToGrid/>
      <w:sz w:val="24"/>
      <w:szCs w:val="24"/>
      <w:lang w:val="en-GB" w:eastAsia="en-US"/>
    </w:rPr>
  </w:style>
  <w:style w:type="paragraph" w:customStyle="1" w:styleId="Normal1">
    <w:name w:val="Normal1"/>
    <w:rsid w:val="00244AF4"/>
    <w:rPr>
      <w:rFonts w:ascii="Cambria" w:eastAsia="Cambria" w:hAnsi="Cambria" w:cs="Cambria"/>
      <w:color w:val="000000"/>
      <w:sz w:val="24"/>
      <w:szCs w:val="24"/>
      <w:lang w:val="en-ZA" w:eastAsia="en-US"/>
    </w:rPr>
  </w:style>
  <w:style w:type="character" w:customStyle="1" w:styleId="CommentTextChar1">
    <w:name w:val="Comment Text Char1"/>
    <w:uiPriority w:val="99"/>
    <w:rsid w:val="00244AF4"/>
    <w:rPr>
      <w:rFonts w:ascii="Cambria" w:eastAsia="Cambria" w:hAnsi="Cambria" w:cs="Cambria"/>
      <w:color w:val="000000"/>
      <w:lang w:val="en-ZA"/>
    </w:rPr>
  </w:style>
  <w:style w:type="paragraph" w:styleId="ListParagraph">
    <w:name w:val="List Paragraph"/>
    <w:basedOn w:val="Normal"/>
    <w:uiPriority w:val="34"/>
    <w:qFormat/>
    <w:rsid w:val="00244AF4"/>
    <w:pPr>
      <w:tabs>
        <w:tab w:val="clear" w:pos="431"/>
      </w:tabs>
      <w:overflowPunct/>
      <w:adjustRightInd/>
      <w:snapToGrid/>
      <w:spacing w:line="240" w:lineRule="auto"/>
      <w:ind w:left="720"/>
      <w:contextualSpacing/>
      <w:jc w:val="left"/>
    </w:pPr>
    <w:rPr>
      <w:rFonts w:ascii="Cambria" w:eastAsia="Cambria" w:hAnsi="Cambria" w:cs="Cambria"/>
      <w:snapToGrid/>
      <w:color w:val="000000"/>
      <w:sz w:val="24"/>
      <w:szCs w:val="24"/>
      <w:lang w:val="en-ZA" w:eastAsia="en-US"/>
    </w:rPr>
  </w:style>
  <w:style w:type="paragraph" w:styleId="TOC4">
    <w:name w:val="toc 4"/>
    <w:basedOn w:val="Normal"/>
    <w:next w:val="Normal"/>
    <w:autoRedefine/>
    <w:uiPriority w:val="39"/>
    <w:unhideWhenUsed/>
    <w:rsid w:val="00244AF4"/>
    <w:pPr>
      <w:tabs>
        <w:tab w:val="clear" w:pos="431"/>
      </w:tabs>
      <w:overflowPunct/>
      <w:adjustRightInd/>
      <w:snapToGrid/>
      <w:spacing w:line="240" w:lineRule="auto"/>
      <w:ind w:left="720"/>
      <w:jc w:val="left"/>
    </w:pPr>
    <w:rPr>
      <w:rFonts w:ascii="Cambria" w:eastAsia="MS Mincho" w:hAnsi="Cambria"/>
      <w:snapToGrid/>
      <w:sz w:val="20"/>
      <w:lang w:eastAsia="en-US"/>
    </w:rPr>
  </w:style>
  <w:style w:type="paragraph" w:styleId="TOC5">
    <w:name w:val="toc 5"/>
    <w:basedOn w:val="Normal"/>
    <w:next w:val="Normal"/>
    <w:autoRedefine/>
    <w:uiPriority w:val="39"/>
    <w:unhideWhenUsed/>
    <w:rsid w:val="00244AF4"/>
    <w:pPr>
      <w:tabs>
        <w:tab w:val="clear" w:pos="431"/>
      </w:tabs>
      <w:overflowPunct/>
      <w:adjustRightInd/>
      <w:snapToGrid/>
      <w:spacing w:line="240" w:lineRule="auto"/>
      <w:ind w:left="960"/>
      <w:jc w:val="left"/>
    </w:pPr>
    <w:rPr>
      <w:rFonts w:ascii="Cambria" w:eastAsia="MS Mincho" w:hAnsi="Cambria"/>
      <w:snapToGrid/>
      <w:sz w:val="20"/>
      <w:lang w:eastAsia="en-US"/>
    </w:rPr>
  </w:style>
  <w:style w:type="paragraph" w:styleId="TOC6">
    <w:name w:val="toc 6"/>
    <w:basedOn w:val="Normal"/>
    <w:next w:val="Normal"/>
    <w:autoRedefine/>
    <w:uiPriority w:val="39"/>
    <w:unhideWhenUsed/>
    <w:rsid w:val="00244AF4"/>
    <w:pPr>
      <w:tabs>
        <w:tab w:val="clear" w:pos="431"/>
      </w:tabs>
      <w:overflowPunct/>
      <w:adjustRightInd/>
      <w:snapToGrid/>
      <w:spacing w:line="240" w:lineRule="auto"/>
      <w:ind w:left="1200"/>
      <w:jc w:val="left"/>
    </w:pPr>
    <w:rPr>
      <w:rFonts w:ascii="Cambria" w:eastAsia="MS Mincho" w:hAnsi="Cambria"/>
      <w:snapToGrid/>
      <w:sz w:val="20"/>
      <w:lang w:eastAsia="en-US"/>
    </w:rPr>
  </w:style>
  <w:style w:type="paragraph" w:styleId="TOC7">
    <w:name w:val="toc 7"/>
    <w:basedOn w:val="Normal"/>
    <w:next w:val="Normal"/>
    <w:autoRedefine/>
    <w:uiPriority w:val="39"/>
    <w:unhideWhenUsed/>
    <w:rsid w:val="00244AF4"/>
    <w:pPr>
      <w:tabs>
        <w:tab w:val="clear" w:pos="431"/>
      </w:tabs>
      <w:overflowPunct/>
      <w:adjustRightInd/>
      <w:snapToGrid/>
      <w:spacing w:line="240" w:lineRule="auto"/>
      <w:ind w:left="1440"/>
      <w:jc w:val="left"/>
    </w:pPr>
    <w:rPr>
      <w:rFonts w:ascii="Cambria" w:eastAsia="MS Mincho" w:hAnsi="Cambria"/>
      <w:snapToGrid/>
      <w:sz w:val="20"/>
      <w:lang w:eastAsia="en-US"/>
    </w:rPr>
  </w:style>
  <w:style w:type="paragraph" w:styleId="TOC8">
    <w:name w:val="toc 8"/>
    <w:basedOn w:val="Normal"/>
    <w:next w:val="Normal"/>
    <w:autoRedefine/>
    <w:uiPriority w:val="39"/>
    <w:unhideWhenUsed/>
    <w:rsid w:val="00244AF4"/>
    <w:pPr>
      <w:tabs>
        <w:tab w:val="clear" w:pos="431"/>
      </w:tabs>
      <w:overflowPunct/>
      <w:adjustRightInd/>
      <w:snapToGrid/>
      <w:spacing w:line="240" w:lineRule="auto"/>
      <w:ind w:left="1680"/>
      <w:jc w:val="left"/>
    </w:pPr>
    <w:rPr>
      <w:rFonts w:ascii="Cambria" w:eastAsia="MS Mincho" w:hAnsi="Cambria"/>
      <w:snapToGrid/>
      <w:sz w:val="20"/>
      <w:lang w:eastAsia="en-US"/>
    </w:rPr>
  </w:style>
  <w:style w:type="paragraph" w:styleId="TOC9">
    <w:name w:val="toc 9"/>
    <w:basedOn w:val="Normal"/>
    <w:next w:val="Normal"/>
    <w:autoRedefine/>
    <w:uiPriority w:val="39"/>
    <w:unhideWhenUsed/>
    <w:rsid w:val="00244AF4"/>
    <w:pPr>
      <w:tabs>
        <w:tab w:val="clear" w:pos="431"/>
      </w:tabs>
      <w:overflowPunct/>
      <w:adjustRightInd/>
      <w:snapToGrid/>
      <w:spacing w:line="240" w:lineRule="auto"/>
      <w:ind w:left="1920"/>
      <w:jc w:val="left"/>
    </w:pPr>
    <w:rPr>
      <w:rFonts w:ascii="Cambria" w:eastAsia="MS Mincho" w:hAnsi="Cambria"/>
      <w:snapToGrid/>
      <w:sz w:val="20"/>
      <w:lang w:eastAsia="en-US"/>
    </w:rPr>
  </w:style>
  <w:style w:type="paragraph" w:styleId="Revision">
    <w:name w:val="Revision"/>
    <w:hidden/>
    <w:uiPriority w:val="99"/>
    <w:rsid w:val="00244AF4"/>
    <w:rPr>
      <w:rFonts w:ascii="Cambria" w:eastAsia="MS Mincho" w:hAnsi="Cambria"/>
      <w:sz w:val="24"/>
      <w:szCs w:val="24"/>
      <w:lang w:eastAsia="en-US"/>
    </w:rPr>
  </w:style>
  <w:style w:type="paragraph" w:customStyle="1" w:styleId="f">
    <w:name w:val="f"/>
    <w:basedOn w:val="Normal1"/>
    <w:rsid w:val="00244AF4"/>
    <w:pPr>
      <w:numPr>
        <w:numId w:val="13"/>
      </w:numPr>
      <w:spacing w:line="276" w:lineRule="auto"/>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1" w:qFormat="1"/>
    <w:lsdException w:name="header" w:unhideWhenUsed="1" w:qFormat="1"/>
    <w:lsdException w:name="footer" w:unhideWhenUsed="1" w:qFormat="1"/>
    <w:lsdException w:name="caption" w:uiPriority="35" w:unhideWhenUsed="1" w:qFormat="1"/>
    <w:lsdException w:name="envelope address" w:uiPriority="0"/>
    <w:lsdException w:name="envelope return" w:uiPriority="0"/>
    <w:lsdException w:name="footnote reference" w:uiPriority="0" w:unhideWhenUsed="1" w:qFormat="1"/>
    <w:lsdException w:name="page number" w:unhideWhenUsed="1" w:qFormat="1"/>
    <w:lsdException w:name="endnote reference" w:uiPriority="0" w:unhideWhenUsed="1" w:qFormat="1"/>
    <w:lsdException w:name="endnote text" w:uiPriority="0" w:unhideWhenUsed="1" w:qFormat="1"/>
    <w:lsdException w:name="Title" w:uiPriority="10"/>
    <w:lsdException w:name="Default Paragraph Font" w:uiPriority="1" w:unhideWhenUsed="1"/>
    <w:lsdException w:name="Subtitle" w:uiPriority="11"/>
    <w:lsdException w:name="Strong" w:uiPriority="22" w:qFormat="1"/>
    <w:lsdException w:name="Emphasis" w:uiPriority="20" w:qFormat="1"/>
    <w:lsdException w:name="HTML Top of Form" w:unhideWhenUsed="1"/>
    <w:lsdException w:name="HTML Bottom of Form" w:unhideWhenUsed="1"/>
    <w:lsdException w:name="HTML Acronym" w:uiPriority="0"/>
    <w:lsdException w:name="Normal Table" w:unhideWhenUsed="1"/>
    <w:lsdException w:name="No List" w:unhideWhenUsed="1"/>
    <w:lsdException w:name="Outline List 1" w:uiPriority="0" w:unhideWhenUsed="1"/>
    <w:lsdException w:name="Outline List 2" w:uiPriority="0"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Normal">
    <w:name w:val="Normal"/>
    <w:qFormat/>
    <w:rsid w:val="0093206A"/>
    <w:pPr>
      <w:tabs>
        <w:tab w:val="left" w:pos="431"/>
      </w:tabs>
      <w:overflowPunct w:val="0"/>
      <w:adjustRightInd w:val="0"/>
      <w:snapToGrid w:val="0"/>
      <w:spacing w:line="320" w:lineRule="exact"/>
      <w:jc w:val="both"/>
    </w:pPr>
    <w:rPr>
      <w:snapToGrid w:val="0"/>
      <w:sz w:val="21"/>
    </w:rPr>
  </w:style>
  <w:style w:type="paragraph" w:styleId="Heading1">
    <w:name w:val="heading 1"/>
    <w:aliases w:val="Table_G"/>
    <w:basedOn w:val="Normal"/>
    <w:next w:val="Normal"/>
    <w:link w:val="Heading1Char"/>
    <w:uiPriority w:val="9"/>
    <w:qFormat/>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Heading2">
    <w:name w:val="heading 2"/>
    <w:basedOn w:val="Normal"/>
    <w:next w:val="Normal"/>
    <w:link w:val="Heading2Char"/>
    <w:qFormat/>
    <w:rsid w:val="008B0560"/>
    <w:pPr>
      <w:keepNext/>
      <w:keepLines/>
      <w:spacing w:before="200" w:line="276" w:lineRule="auto"/>
      <w:outlineLvl w:val="1"/>
    </w:pPr>
    <w:rPr>
      <w:rFonts w:eastAsia="Times New Roman"/>
      <w:b/>
      <w:bCs/>
      <w:snapToGrid/>
      <w:color w:val="4F81BD" w:themeColor="accent1"/>
      <w:sz w:val="26"/>
      <w:szCs w:val="26"/>
    </w:rPr>
  </w:style>
  <w:style w:type="paragraph" w:styleId="Heading3">
    <w:name w:val="heading 3"/>
    <w:basedOn w:val="Normal"/>
    <w:next w:val="Normal"/>
    <w:link w:val="Heading3Char"/>
    <w:qFormat/>
    <w:rsid w:val="008B0560"/>
    <w:pPr>
      <w:keepNext/>
      <w:keepLines/>
      <w:spacing w:before="200" w:line="276" w:lineRule="auto"/>
      <w:outlineLvl w:val="2"/>
    </w:pPr>
    <w:rPr>
      <w:rFonts w:eastAsia="Times New Roman"/>
      <w:b/>
      <w:bCs/>
      <w:snapToGrid/>
      <w:color w:val="4F81BD" w:themeColor="accent1"/>
      <w:sz w:val="22"/>
    </w:rPr>
  </w:style>
  <w:style w:type="paragraph" w:styleId="Heading4">
    <w:name w:val="heading 4"/>
    <w:basedOn w:val="Normal"/>
    <w:next w:val="Normal"/>
    <w:link w:val="Heading4Char"/>
    <w:qFormat/>
    <w:rsid w:val="008B0560"/>
    <w:pPr>
      <w:keepNext/>
      <w:keepLines/>
      <w:spacing w:before="200" w:line="276" w:lineRule="auto"/>
      <w:outlineLvl w:val="3"/>
    </w:pPr>
    <w:rPr>
      <w:rFonts w:eastAsia="Times New Roman"/>
      <w:b/>
      <w:bCs/>
      <w:i/>
      <w:iCs/>
      <w:snapToGrid/>
      <w:color w:val="4F81BD" w:themeColor="accent1"/>
      <w:sz w:val="22"/>
    </w:rPr>
  </w:style>
  <w:style w:type="paragraph" w:styleId="Heading5">
    <w:name w:val="heading 5"/>
    <w:basedOn w:val="Normal"/>
    <w:next w:val="Normal"/>
    <w:link w:val="Heading5Char"/>
    <w:qFormat/>
    <w:rsid w:val="008B0560"/>
    <w:pPr>
      <w:keepNext/>
      <w:keepLines/>
      <w:spacing w:before="200" w:line="276" w:lineRule="auto"/>
      <w:outlineLvl w:val="4"/>
    </w:pPr>
    <w:rPr>
      <w:rFonts w:eastAsia="Times New Roman"/>
      <w:snapToGrid/>
      <w:color w:val="243F60" w:themeColor="accent1" w:themeShade="7F"/>
      <w:sz w:val="22"/>
    </w:rPr>
  </w:style>
  <w:style w:type="paragraph" w:styleId="Heading6">
    <w:name w:val="heading 6"/>
    <w:basedOn w:val="Normal"/>
    <w:next w:val="Normal"/>
    <w:link w:val="Heading6Char"/>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Heading7">
    <w:name w:val="heading 7"/>
    <w:basedOn w:val="Normal"/>
    <w:next w:val="Normal"/>
    <w:link w:val="Heading7Char"/>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Heading8">
    <w:name w:val="heading 8"/>
    <w:basedOn w:val="Normal"/>
    <w:next w:val="Normal"/>
    <w:link w:val="Heading8Char"/>
    <w:qFormat/>
    <w:rsid w:val="008B0560"/>
    <w:pPr>
      <w:keepNext/>
      <w:keepLines/>
      <w:spacing w:before="200" w:line="276" w:lineRule="auto"/>
      <w:outlineLvl w:val="7"/>
    </w:pPr>
    <w:rPr>
      <w:rFonts w:eastAsia="Times New Roman"/>
      <w:snapToGrid/>
      <w:color w:val="4F81BD" w:themeColor="accent1"/>
    </w:rPr>
  </w:style>
  <w:style w:type="paragraph" w:styleId="Heading9">
    <w:name w:val="heading 9"/>
    <w:basedOn w:val="Normal"/>
    <w:next w:val="Normal"/>
    <w:link w:val="Heading9Char"/>
    <w:qFormat/>
    <w:rsid w:val="008B0560"/>
    <w:pPr>
      <w:keepNext/>
      <w:keepLines/>
      <w:spacing w:before="200" w:line="276" w:lineRule="auto"/>
      <w:outlineLvl w:val="8"/>
    </w:pPr>
    <w:rPr>
      <w:rFonts w:eastAsia="Times New Roman"/>
      <w:i/>
      <w:iCs/>
      <w:snapToGrid/>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C">
    <w:name w:val="_ H __M_GC"/>
    <w:basedOn w:val="Normal"/>
    <w:next w:val="Normal"/>
    <w:qFormat/>
    <w:rsid w:val="00204B42"/>
    <w:pPr>
      <w:keepNext/>
      <w:keepLines/>
      <w:tabs>
        <w:tab w:val="clear" w:pos="431"/>
        <w:tab w:val="right" w:pos="851"/>
      </w:tabs>
      <w:spacing w:before="240" w:after="240" w:line="440" w:lineRule="exact"/>
      <w:ind w:left="1134" w:right="1134" w:hanging="1134"/>
      <w:outlineLvl w:val="0"/>
    </w:pPr>
    <w:rPr>
      <w:rFonts w:eastAsia="SimHei"/>
      <w:sz w:val="34"/>
      <w:szCs w:val="34"/>
    </w:rPr>
  </w:style>
  <w:style w:type="paragraph" w:customStyle="1" w:styleId="HChGC">
    <w:name w:val="_ H _Ch_GC"/>
    <w:basedOn w:val="Normal"/>
    <w:next w:val="Normal"/>
    <w:qFormat/>
    <w:rsid w:val="00204B42"/>
    <w:pPr>
      <w:keepNext/>
      <w:keepLines/>
      <w:tabs>
        <w:tab w:val="clear" w:pos="431"/>
        <w:tab w:val="right" w:pos="851"/>
      </w:tabs>
      <w:spacing w:before="360" w:after="240" w:line="400" w:lineRule="exact"/>
      <w:ind w:left="1134" w:right="1134" w:hanging="1134"/>
      <w:outlineLvl w:val="1"/>
    </w:pPr>
    <w:rPr>
      <w:rFonts w:eastAsia="SimHei"/>
      <w:sz w:val="28"/>
      <w:szCs w:val="28"/>
    </w:rPr>
  </w:style>
  <w:style w:type="paragraph" w:customStyle="1" w:styleId="H1GC">
    <w:name w:val="_ H_1_GC"/>
    <w:basedOn w:val="Normal"/>
    <w:next w:val="Normal"/>
    <w:qFormat/>
    <w:rsid w:val="00204B42"/>
    <w:pPr>
      <w:keepNext/>
      <w:keepLines/>
      <w:tabs>
        <w:tab w:val="clear" w:pos="431"/>
        <w:tab w:val="right" w:pos="851"/>
      </w:tabs>
      <w:spacing w:before="360" w:after="240"/>
      <w:ind w:left="1134" w:right="1134" w:hanging="1134"/>
      <w:outlineLvl w:val="2"/>
    </w:pPr>
    <w:rPr>
      <w:rFonts w:eastAsia="SimHei"/>
      <w:sz w:val="24"/>
      <w:szCs w:val="24"/>
    </w:rPr>
  </w:style>
  <w:style w:type="paragraph" w:customStyle="1" w:styleId="H23GC">
    <w:name w:val="_ H_2/3_GC"/>
    <w:basedOn w:val="Normal"/>
    <w:next w:val="Normal"/>
    <w:qFormat/>
    <w:rsid w:val="001C3EF2"/>
    <w:pPr>
      <w:keepNext/>
      <w:keepLines/>
      <w:tabs>
        <w:tab w:val="clear" w:pos="431"/>
        <w:tab w:val="right" w:pos="851"/>
      </w:tabs>
      <w:spacing w:before="240" w:after="120"/>
      <w:ind w:left="1134" w:right="1134" w:hanging="1134"/>
      <w:outlineLvl w:val="3"/>
    </w:pPr>
    <w:rPr>
      <w:rFonts w:eastAsia="SimHei"/>
      <w:snapToGrid/>
      <w:sz w:val="22"/>
      <w:szCs w:val="22"/>
    </w:rPr>
  </w:style>
  <w:style w:type="paragraph" w:customStyle="1" w:styleId="H4GC">
    <w:name w:val="_ H_4_GC"/>
    <w:basedOn w:val="Normal"/>
    <w:next w:val="Normal"/>
    <w:qFormat/>
    <w:rsid w:val="00204B42"/>
    <w:pPr>
      <w:keepNext/>
      <w:keepLines/>
      <w:tabs>
        <w:tab w:val="clear" w:pos="431"/>
        <w:tab w:val="right" w:pos="851"/>
      </w:tabs>
      <w:spacing w:before="240" w:after="120"/>
      <w:ind w:left="1134" w:right="1134" w:hanging="1134"/>
      <w:outlineLvl w:val="4"/>
    </w:pPr>
    <w:rPr>
      <w:rFonts w:eastAsia="楷体"/>
      <w:sz w:val="23"/>
      <w:szCs w:val="23"/>
    </w:rPr>
  </w:style>
  <w:style w:type="paragraph" w:customStyle="1" w:styleId="H56GC">
    <w:name w:val="_ H_5/6_GC"/>
    <w:basedOn w:val="Normal"/>
    <w:next w:val="Normal"/>
    <w:qFormat/>
    <w:rsid w:val="00204B42"/>
    <w:pPr>
      <w:keepNext/>
      <w:keepLines/>
      <w:tabs>
        <w:tab w:val="clear" w:pos="431"/>
        <w:tab w:val="right" w:pos="851"/>
      </w:tabs>
      <w:spacing w:before="240" w:after="120"/>
      <w:ind w:left="1134" w:right="1134" w:hanging="1134"/>
      <w:outlineLvl w:val="5"/>
    </w:pPr>
  </w:style>
  <w:style w:type="paragraph" w:customStyle="1" w:styleId="SingleTxtGC">
    <w:name w:val="_ Single Txt_GC"/>
    <w:basedOn w:val="Normal"/>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DefaultParagraphFont"/>
    <w:link w:val="SingleTxtGC"/>
    <w:locked/>
    <w:rsid w:val="00C17349"/>
    <w:rPr>
      <w:snapToGrid w:val="0"/>
      <w:sz w:val="21"/>
      <w:szCs w:val="21"/>
    </w:rPr>
  </w:style>
  <w:style w:type="paragraph" w:customStyle="1" w:styleId="SLGC">
    <w:name w:val="__S_L_GC"/>
    <w:basedOn w:val="Normal"/>
    <w:next w:val="Normal"/>
    <w:qFormat/>
    <w:rsid w:val="00C17349"/>
    <w:pPr>
      <w:keepNext/>
      <w:keepLines/>
      <w:spacing w:before="240" w:after="240" w:line="560" w:lineRule="exact"/>
      <w:ind w:left="1134" w:right="1134"/>
    </w:pPr>
    <w:rPr>
      <w:rFonts w:eastAsia="SimHei"/>
      <w:sz w:val="56"/>
      <w:szCs w:val="56"/>
    </w:rPr>
  </w:style>
  <w:style w:type="paragraph" w:customStyle="1" w:styleId="SMGC">
    <w:name w:val="__S_M_GC"/>
    <w:basedOn w:val="Normal"/>
    <w:next w:val="Normal"/>
    <w:qFormat/>
    <w:rsid w:val="00C17349"/>
    <w:pPr>
      <w:keepNext/>
      <w:keepLines/>
      <w:spacing w:before="240" w:after="240" w:line="400" w:lineRule="exact"/>
      <w:ind w:left="1134" w:right="1134"/>
    </w:pPr>
    <w:rPr>
      <w:rFonts w:eastAsia="SimHei"/>
      <w:sz w:val="40"/>
      <w:szCs w:val="40"/>
    </w:rPr>
  </w:style>
  <w:style w:type="paragraph" w:customStyle="1" w:styleId="SSGC">
    <w:name w:val="__S_S_GC"/>
    <w:basedOn w:val="Normal"/>
    <w:next w:val="Normal"/>
    <w:qFormat/>
    <w:rsid w:val="008B0560"/>
    <w:pPr>
      <w:keepNext/>
      <w:keepLines/>
      <w:spacing w:before="240" w:after="240" w:line="300" w:lineRule="exact"/>
      <w:ind w:left="1134" w:right="1134"/>
    </w:pPr>
    <w:rPr>
      <w:rFonts w:eastAsia="SimHei"/>
      <w:sz w:val="28"/>
    </w:rPr>
  </w:style>
  <w:style w:type="paragraph" w:customStyle="1" w:styleId="XLargeGC">
    <w:name w:val="__XLarge_GC"/>
    <w:basedOn w:val="Normal"/>
    <w:next w:val="Normal"/>
    <w:qFormat/>
    <w:rsid w:val="00C17349"/>
    <w:pPr>
      <w:keepNext/>
      <w:keepLines/>
      <w:spacing w:before="240" w:after="240" w:line="400" w:lineRule="exact"/>
      <w:ind w:left="1134" w:right="1134"/>
    </w:pPr>
    <w:rPr>
      <w:rFonts w:eastAsia="SimHei"/>
      <w:sz w:val="40"/>
      <w:szCs w:val="40"/>
    </w:rPr>
  </w:style>
  <w:style w:type="paragraph" w:customStyle="1" w:styleId="Bullet1GC">
    <w:name w:val="_Bullet 1_GC"/>
    <w:basedOn w:val="Normal"/>
    <w:qFormat/>
    <w:rsid w:val="00C17349"/>
    <w:pPr>
      <w:numPr>
        <w:numId w:val="1"/>
      </w:numPr>
      <w:spacing w:after="120"/>
      <w:ind w:right="1134"/>
    </w:pPr>
  </w:style>
  <w:style w:type="paragraph" w:customStyle="1" w:styleId="Bullet2GC">
    <w:name w:val="_Bullet 2_GC"/>
    <w:basedOn w:val="Normal"/>
    <w:qFormat/>
    <w:rsid w:val="00C17349"/>
    <w:pPr>
      <w:numPr>
        <w:numId w:val="2"/>
      </w:numPr>
      <w:spacing w:after="120"/>
      <w:ind w:right="1134"/>
    </w:pPr>
  </w:style>
  <w:style w:type="paragraph" w:customStyle="1" w:styleId="DashGC">
    <w:name w:val="_Dash_GC"/>
    <w:basedOn w:val="Normal"/>
    <w:qFormat/>
    <w:rsid w:val="00C17349"/>
    <w:pPr>
      <w:numPr>
        <w:numId w:val="3"/>
      </w:numPr>
      <w:spacing w:after="120"/>
      <w:ind w:right="1134"/>
    </w:pPr>
    <w:rPr>
      <w:lang w:val="fr-CH"/>
    </w:rPr>
  </w:style>
  <w:style w:type="paragraph" w:customStyle="1" w:styleId="a">
    <w:name w:val="表数文字"/>
    <w:basedOn w:val="Normal"/>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0">
    <w:name w:val="表中标题"/>
    <w:basedOn w:val="Normal"/>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1">
    <w:name w:val="表中文字"/>
    <w:basedOn w:val="Normal"/>
    <w:qFormat/>
    <w:rsid w:val="00C17349"/>
    <w:pPr>
      <w:tabs>
        <w:tab w:val="left" w:pos="1134"/>
        <w:tab w:val="left" w:pos="1565"/>
        <w:tab w:val="left" w:pos="1996"/>
        <w:tab w:val="left" w:pos="2427"/>
      </w:tabs>
      <w:spacing w:before="40" w:line="240" w:lineRule="atLeast"/>
      <w:ind w:right="113"/>
    </w:pPr>
    <w:rPr>
      <w:sz w:val="18"/>
      <w:szCs w:val="18"/>
    </w:rPr>
  </w:style>
  <w:style w:type="paragraph" w:styleId="FootnoteText">
    <w:name w:val="footnote text"/>
    <w:aliases w:val="5_G"/>
    <w:basedOn w:val="Normal"/>
    <w:link w:val="FootnoteTextChar"/>
    <w:qFormat/>
    <w:rsid w:val="00B423E7"/>
    <w:pPr>
      <w:keepLines/>
      <w:widowControl w:val="0"/>
      <w:tabs>
        <w:tab w:val="right" w:pos="1021"/>
      </w:tabs>
      <w:overflowPunct/>
      <w:spacing w:after="120" w:line="240" w:lineRule="exact"/>
      <w:ind w:left="1134" w:right="1134" w:hanging="1134"/>
    </w:pPr>
    <w:rPr>
      <w:sz w:val="18"/>
      <w:szCs w:val="18"/>
    </w:rPr>
  </w:style>
  <w:style w:type="character" w:customStyle="1" w:styleId="FootnoteTextChar">
    <w:name w:val="Footnote Text Char"/>
    <w:aliases w:val="5_G Char"/>
    <w:basedOn w:val="DefaultParagraphFont"/>
    <w:link w:val="FootnoteText"/>
    <w:rsid w:val="00B423E7"/>
    <w:rPr>
      <w:snapToGrid w:val="0"/>
      <w:sz w:val="18"/>
      <w:szCs w:val="18"/>
    </w:rPr>
  </w:style>
  <w:style w:type="character" w:styleId="FootnoteReference">
    <w:name w:val="footnote reference"/>
    <w:aliases w:val="4_G"/>
    <w:basedOn w:val="DefaultParagraphFont"/>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2">
    <w:name w:val="目录段页次"/>
    <w:basedOn w:val="Normal"/>
    <w:qFormat/>
    <w:rsid w:val="0077079A"/>
    <w:pPr>
      <w:tabs>
        <w:tab w:val="clear" w:pos="431"/>
        <w:tab w:val="right" w:pos="851"/>
        <w:tab w:val="left" w:pos="1134"/>
        <w:tab w:val="left" w:pos="1565"/>
        <w:tab w:val="left" w:pos="1996"/>
        <w:tab w:val="right" w:leader="dot" w:pos="7655"/>
        <w:tab w:val="right" w:pos="8789"/>
        <w:tab w:val="right" w:pos="9554"/>
      </w:tabs>
      <w:ind w:left="1134" w:right="4253" w:hanging="1134"/>
    </w:pPr>
    <w:rPr>
      <w:szCs w:val="21"/>
    </w:rPr>
  </w:style>
  <w:style w:type="paragraph" w:customStyle="1" w:styleId="a3">
    <w:name w:val="目录页次"/>
    <w:basedOn w:val="Normal"/>
    <w:qFormat/>
    <w:rsid w:val="0077079A"/>
    <w:pPr>
      <w:tabs>
        <w:tab w:val="clear" w:pos="431"/>
        <w:tab w:val="right" w:pos="851"/>
        <w:tab w:val="left" w:pos="1134"/>
        <w:tab w:val="left" w:pos="1565"/>
        <w:tab w:val="left" w:pos="1996"/>
        <w:tab w:val="right" w:leader="dot" w:pos="8789"/>
        <w:tab w:val="right" w:pos="9554"/>
      </w:tabs>
      <w:ind w:left="1134" w:right="3119" w:hanging="1134"/>
    </w:pPr>
    <w:rPr>
      <w:szCs w:val="21"/>
    </w:rPr>
  </w:style>
  <w:style w:type="paragraph" w:customStyle="1" w:styleId="a4">
    <w:name w:val="缩进正文"/>
    <w:basedOn w:val="Normal"/>
    <w:qFormat/>
    <w:rsid w:val="00427F63"/>
    <w:pPr>
      <w:tabs>
        <w:tab w:val="left" w:pos="1134"/>
        <w:tab w:val="left" w:pos="1565"/>
        <w:tab w:val="left" w:pos="1996"/>
        <w:tab w:val="left" w:pos="2427"/>
      </w:tabs>
      <w:ind w:left="1565" w:right="1134"/>
    </w:pPr>
    <w:rPr>
      <w:szCs w:val="21"/>
    </w:rPr>
  </w:style>
  <w:style w:type="paragraph" w:styleId="EndnoteText">
    <w:name w:val="endnote text"/>
    <w:aliases w:val="2_G"/>
    <w:basedOn w:val="FootnoteText"/>
    <w:link w:val="EndnoteTextChar"/>
    <w:qFormat/>
    <w:rsid w:val="00B423E7"/>
  </w:style>
  <w:style w:type="character" w:customStyle="1" w:styleId="EndnoteTextChar">
    <w:name w:val="Endnote Text Char"/>
    <w:aliases w:val="2_G Char"/>
    <w:basedOn w:val="DefaultParagraphFont"/>
    <w:link w:val="EndnoteText"/>
    <w:rsid w:val="00B423E7"/>
    <w:rPr>
      <w:snapToGrid w:val="0"/>
      <w:sz w:val="18"/>
      <w:szCs w:val="18"/>
    </w:rPr>
  </w:style>
  <w:style w:type="character" w:styleId="EndnoteReference">
    <w:name w:val="endnote reference"/>
    <w:aliases w:val="1_G"/>
    <w:basedOn w:val="FootnoteReference"/>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5">
    <w:name w:val="悬挂"/>
    <w:basedOn w:val="Normal"/>
    <w:qFormat/>
    <w:rsid w:val="00D97B98"/>
    <w:pPr>
      <w:tabs>
        <w:tab w:val="left" w:pos="1134"/>
        <w:tab w:val="left" w:pos="1565"/>
        <w:tab w:val="left" w:pos="1996"/>
        <w:tab w:val="left" w:pos="2427"/>
      </w:tabs>
      <w:spacing w:after="120"/>
      <w:ind w:left="1565" w:right="1134" w:hanging="431"/>
    </w:pPr>
  </w:style>
  <w:style w:type="paragraph" w:styleId="Footer">
    <w:name w:val="footer"/>
    <w:aliases w:val="3_G"/>
    <w:basedOn w:val="Normal"/>
    <w:link w:val="FooterChar"/>
    <w:uiPriority w:val="99"/>
    <w:qFormat/>
    <w:rsid w:val="007E5DAD"/>
    <w:pPr>
      <w:overflowPunct/>
      <w:spacing w:line="240" w:lineRule="auto"/>
      <w:jc w:val="left"/>
    </w:pPr>
    <w:rPr>
      <w:rFonts w:eastAsia="Times New Roman"/>
      <w:sz w:val="16"/>
      <w:szCs w:val="16"/>
      <w:lang w:val="en-GB" w:eastAsia="en-US"/>
    </w:rPr>
  </w:style>
  <w:style w:type="character" w:customStyle="1" w:styleId="FooterChar">
    <w:name w:val="Footer Char"/>
    <w:aliases w:val="3_G Char"/>
    <w:basedOn w:val="DefaultParagraphFont"/>
    <w:link w:val="Footer"/>
    <w:uiPriority w:val="99"/>
    <w:rsid w:val="007E5DAD"/>
    <w:rPr>
      <w:rFonts w:eastAsia="Times New Roman"/>
      <w:snapToGrid w:val="0"/>
      <w:sz w:val="16"/>
      <w:szCs w:val="16"/>
      <w:lang w:val="en-GB" w:eastAsia="en-US"/>
    </w:rPr>
  </w:style>
  <w:style w:type="character" w:styleId="PageNumber">
    <w:name w:val="page number"/>
    <w:aliases w:val="7_G"/>
    <w:basedOn w:val="DefaultParagraphFont"/>
    <w:uiPriority w:val="99"/>
    <w:qFormat/>
    <w:rsid w:val="007E5DAD"/>
    <w:rPr>
      <w:rFonts w:ascii="Times New Roman" w:hAnsi="Times New Roman"/>
      <w:b/>
      <w:i w:val="0"/>
      <w:snapToGrid w:val="0"/>
      <w:spacing w:val="0"/>
      <w:kern w:val="0"/>
      <w:sz w:val="18"/>
      <w14:cntxtAlts w14:val="0"/>
    </w:rPr>
  </w:style>
  <w:style w:type="paragraph" w:styleId="Header">
    <w:name w:val="header"/>
    <w:aliases w:val="6_G"/>
    <w:basedOn w:val="Normal"/>
    <w:link w:val="HeaderChar"/>
    <w:uiPriority w:val="99"/>
    <w:qFormat/>
    <w:rsid w:val="007E5DAD"/>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HeaderChar">
    <w:name w:val="Header Char"/>
    <w:aliases w:val="6_G Char"/>
    <w:basedOn w:val="DefaultParagraphFont"/>
    <w:link w:val="Header"/>
    <w:uiPriority w:val="99"/>
    <w:rsid w:val="007E5DAD"/>
    <w:rPr>
      <w:rFonts w:eastAsia="Times New Roman"/>
      <w:b/>
      <w:snapToGrid w:val="0"/>
      <w:sz w:val="18"/>
      <w:szCs w:val="18"/>
      <w:lang w:val="en-GB" w:eastAsia="en-US"/>
    </w:rPr>
  </w:style>
  <w:style w:type="character" w:customStyle="1" w:styleId="Heading1Char">
    <w:name w:val="Heading 1 Char"/>
    <w:aliases w:val="Table_G Char"/>
    <w:basedOn w:val="DefaultParagraphFont"/>
    <w:link w:val="Heading1"/>
    <w:uiPriority w:val="9"/>
    <w:rsid w:val="00153E86"/>
    <w:rPr>
      <w:rFonts w:ascii="Times New Roman" w:eastAsia="Times New Roman" w:hAnsi="Times New Roman" w:cs="Times New Roman"/>
      <w:b/>
      <w:bCs/>
      <w:color w:val="365F91" w:themeColor="accent1" w:themeShade="BF"/>
      <w:sz w:val="28"/>
      <w:szCs w:val="28"/>
    </w:rPr>
  </w:style>
  <w:style w:type="character" w:customStyle="1" w:styleId="Heading2Char">
    <w:name w:val="Heading 2 Char"/>
    <w:basedOn w:val="DefaultParagraphFont"/>
    <w:link w:val="Heading2"/>
    <w:rsid w:val="00153E86"/>
    <w:rPr>
      <w:rFonts w:ascii="Times New Roman" w:eastAsia="Times New Roman" w:hAnsi="Times New Roman" w:cs="Times New Roman"/>
      <w:b/>
      <w:bCs/>
      <w:color w:val="4F81BD" w:themeColor="accent1"/>
      <w:sz w:val="26"/>
      <w:szCs w:val="26"/>
    </w:rPr>
  </w:style>
  <w:style w:type="character" w:customStyle="1" w:styleId="Heading3Char">
    <w:name w:val="Heading 3 Char"/>
    <w:basedOn w:val="DefaultParagraphFont"/>
    <w:link w:val="Heading3"/>
    <w:rsid w:val="00153E86"/>
    <w:rPr>
      <w:rFonts w:ascii="Times New Roman" w:eastAsia="Times New Roman" w:hAnsi="Times New Roman" w:cs="Times New Roman"/>
      <w:b/>
      <w:bCs/>
      <w:color w:val="4F81BD" w:themeColor="accent1"/>
    </w:rPr>
  </w:style>
  <w:style w:type="character" w:customStyle="1" w:styleId="Heading4Char">
    <w:name w:val="Heading 4 Char"/>
    <w:basedOn w:val="DefaultParagraphFont"/>
    <w:link w:val="Heading4"/>
    <w:rsid w:val="00153E86"/>
    <w:rPr>
      <w:rFonts w:ascii="Times New Roman" w:eastAsia="Times New Roman" w:hAnsi="Times New Roman" w:cs="Times New Roman"/>
      <w:b/>
      <w:bCs/>
      <w:i/>
      <w:iCs/>
      <w:color w:val="4F81BD" w:themeColor="accent1"/>
    </w:rPr>
  </w:style>
  <w:style w:type="character" w:customStyle="1" w:styleId="Heading5Char">
    <w:name w:val="Heading 5 Char"/>
    <w:basedOn w:val="DefaultParagraphFont"/>
    <w:link w:val="Heading5"/>
    <w:rsid w:val="00153E86"/>
    <w:rPr>
      <w:rFonts w:ascii="Times New Roman" w:eastAsia="Times New Roman" w:hAnsi="Times New Roman" w:cs="Times New Roman"/>
      <w:color w:val="243F60" w:themeColor="accent1" w:themeShade="7F"/>
    </w:rPr>
  </w:style>
  <w:style w:type="character" w:customStyle="1" w:styleId="Heading6Char">
    <w:name w:val="Heading 6 Char"/>
    <w:basedOn w:val="DefaultParagraphFont"/>
    <w:link w:val="Heading6"/>
    <w:rsid w:val="00153E86"/>
    <w:rPr>
      <w:rFonts w:ascii="Times New Roman" w:eastAsia="Times New Roman" w:hAnsi="Times New Roman" w:cs="Times New Roman"/>
      <w:i/>
      <w:iCs/>
      <w:color w:val="243F60" w:themeColor="accent1" w:themeShade="7F"/>
    </w:rPr>
  </w:style>
  <w:style w:type="character" w:customStyle="1" w:styleId="Heading7Char">
    <w:name w:val="Heading 7 Char"/>
    <w:basedOn w:val="DefaultParagraphFont"/>
    <w:link w:val="Heading7"/>
    <w:rsid w:val="00153E86"/>
    <w:rPr>
      <w:rFonts w:ascii="Times New Roman" w:eastAsia="Times New Roman" w:hAnsi="Times New Roman" w:cs="Times New Roman"/>
      <w:i/>
      <w:iCs/>
      <w:color w:val="404040" w:themeColor="text1" w:themeTint="BF"/>
    </w:rPr>
  </w:style>
  <w:style w:type="character" w:customStyle="1" w:styleId="Heading8Char">
    <w:name w:val="Heading 8 Char"/>
    <w:basedOn w:val="DefaultParagraphFont"/>
    <w:link w:val="Heading8"/>
    <w:rsid w:val="00153E86"/>
    <w:rPr>
      <w:rFonts w:ascii="Times New Roman" w:eastAsia="Times New Roman" w:hAnsi="Times New Roman" w:cs="Times New Roman"/>
      <w:color w:val="4F81BD" w:themeColor="accent1"/>
      <w:sz w:val="20"/>
      <w:szCs w:val="20"/>
    </w:rPr>
  </w:style>
  <w:style w:type="character" w:customStyle="1" w:styleId="Heading9Char">
    <w:name w:val="Heading 9 Char"/>
    <w:basedOn w:val="DefaultParagraphFont"/>
    <w:link w:val="Heading9"/>
    <w:rsid w:val="00153E86"/>
    <w:rPr>
      <w:rFonts w:ascii="Times New Roman" w:eastAsia="Times New Roman" w:hAnsi="Times New Roman" w:cs="Times New Roman"/>
      <w:i/>
      <w:iCs/>
      <w:color w:val="404040" w:themeColor="text1" w:themeTint="BF"/>
      <w:sz w:val="20"/>
      <w:szCs w:val="20"/>
    </w:rPr>
  </w:style>
  <w:style w:type="paragraph" w:styleId="BalloonText">
    <w:name w:val="Balloon Text"/>
    <w:basedOn w:val="Normal"/>
    <w:link w:val="BalloonTextChar"/>
    <w:uiPriority w:val="99"/>
    <w:semiHidden/>
    <w:unhideWhenUsed/>
    <w:rsid w:val="0093206A"/>
    <w:pPr>
      <w:spacing w:line="240" w:lineRule="auto"/>
    </w:pPr>
    <w:rPr>
      <w:sz w:val="18"/>
      <w:szCs w:val="18"/>
    </w:rPr>
  </w:style>
  <w:style w:type="character" w:customStyle="1" w:styleId="BalloonTextChar">
    <w:name w:val="Balloon Text Char"/>
    <w:basedOn w:val="DefaultParagraphFont"/>
    <w:link w:val="BalloonText"/>
    <w:uiPriority w:val="99"/>
    <w:semiHidden/>
    <w:rsid w:val="0093206A"/>
    <w:rPr>
      <w:snapToGrid w:val="0"/>
      <w:sz w:val="18"/>
      <w:szCs w:val="18"/>
    </w:rPr>
  </w:style>
  <w:style w:type="character" w:styleId="Hyperlink">
    <w:name w:val="Hyperlink"/>
    <w:basedOn w:val="DefaultParagraphFont"/>
    <w:uiPriority w:val="99"/>
    <w:rsid w:val="0093206A"/>
    <w:rPr>
      <w:color w:val="0000FF" w:themeColor="hyperlink"/>
      <w:u w:val="none"/>
    </w:rPr>
  </w:style>
  <w:style w:type="character" w:styleId="FollowedHyperlink">
    <w:name w:val="FollowedHyperlink"/>
    <w:basedOn w:val="DefaultParagraphFont"/>
    <w:uiPriority w:val="99"/>
    <w:rsid w:val="0093206A"/>
    <w:rPr>
      <w:color w:val="0000FF"/>
      <w:u w:val="none"/>
    </w:rPr>
  </w:style>
  <w:style w:type="paragraph" w:customStyle="1" w:styleId="HMG">
    <w:name w:val="_ H __M_G"/>
    <w:basedOn w:val="Normal"/>
    <w:next w:val="Normal"/>
    <w:rsid w:val="00244AF4"/>
    <w:pPr>
      <w:keepNext/>
      <w:keepLines/>
      <w:tabs>
        <w:tab w:val="clear" w:pos="431"/>
        <w:tab w:val="right" w:pos="851"/>
      </w:tabs>
      <w:suppressAutoHyphens/>
      <w:overflowPunct/>
      <w:adjustRightInd/>
      <w:snapToGrid/>
      <w:spacing w:before="240" w:after="240" w:line="360" w:lineRule="exact"/>
      <w:ind w:left="1134" w:right="1134" w:hanging="1134"/>
      <w:jc w:val="left"/>
    </w:pPr>
    <w:rPr>
      <w:b/>
      <w:snapToGrid/>
      <w:sz w:val="34"/>
      <w:lang w:val="en-GB" w:eastAsia="en-US"/>
    </w:rPr>
  </w:style>
  <w:style w:type="paragraph" w:customStyle="1" w:styleId="HChG">
    <w:name w:val="_ H _Ch_G"/>
    <w:basedOn w:val="Normal"/>
    <w:next w:val="Normal"/>
    <w:link w:val="HChGChar"/>
    <w:rsid w:val="00244AF4"/>
    <w:pPr>
      <w:keepNext/>
      <w:keepLines/>
      <w:tabs>
        <w:tab w:val="clear" w:pos="431"/>
        <w:tab w:val="right" w:pos="851"/>
      </w:tabs>
      <w:suppressAutoHyphens/>
      <w:overflowPunct/>
      <w:adjustRightInd/>
      <w:snapToGrid/>
      <w:spacing w:before="360" w:after="240" w:line="300" w:lineRule="exact"/>
      <w:ind w:left="1134" w:right="1134" w:hanging="1134"/>
      <w:jc w:val="left"/>
    </w:pPr>
    <w:rPr>
      <w:b/>
      <w:snapToGrid/>
      <w:sz w:val="28"/>
      <w:lang w:val="x-none" w:eastAsia="en-US"/>
    </w:rPr>
  </w:style>
  <w:style w:type="paragraph" w:customStyle="1" w:styleId="ParaNoG">
    <w:name w:val="_ParaNo._G"/>
    <w:basedOn w:val="SingleTxtG"/>
    <w:rsid w:val="00244AF4"/>
    <w:pPr>
      <w:numPr>
        <w:numId w:val="9"/>
      </w:numPr>
      <w:tabs>
        <w:tab w:val="clear" w:pos="1"/>
        <w:tab w:val="num" w:pos="1701"/>
      </w:tabs>
      <w:ind w:left="1701" w:hanging="170"/>
    </w:pPr>
  </w:style>
  <w:style w:type="paragraph" w:customStyle="1" w:styleId="SingleTxtG">
    <w:name w:val="_ Single Txt_G"/>
    <w:basedOn w:val="Normal"/>
    <w:link w:val="SingleTxtGChar"/>
    <w:qFormat/>
    <w:rsid w:val="00244AF4"/>
    <w:pPr>
      <w:tabs>
        <w:tab w:val="clear" w:pos="431"/>
      </w:tabs>
      <w:suppressAutoHyphens/>
      <w:overflowPunct/>
      <w:adjustRightInd/>
      <w:snapToGrid/>
      <w:spacing w:after="120" w:line="240" w:lineRule="atLeast"/>
      <w:ind w:left="1134" w:right="1134"/>
    </w:pPr>
    <w:rPr>
      <w:snapToGrid/>
      <w:sz w:val="20"/>
      <w:lang w:val="x-none" w:eastAsia="en-US"/>
    </w:rPr>
  </w:style>
  <w:style w:type="paragraph" w:customStyle="1" w:styleId="SMG">
    <w:name w:val="__S_M_G"/>
    <w:basedOn w:val="Normal"/>
    <w:next w:val="Normal"/>
    <w:rsid w:val="00244AF4"/>
    <w:pPr>
      <w:keepNext/>
      <w:keepLines/>
      <w:tabs>
        <w:tab w:val="clear" w:pos="431"/>
      </w:tabs>
      <w:suppressAutoHyphens/>
      <w:overflowPunct/>
      <w:adjustRightInd/>
      <w:snapToGrid/>
      <w:spacing w:before="240" w:after="240" w:line="420" w:lineRule="exact"/>
      <w:ind w:left="1134" w:right="1134"/>
      <w:jc w:val="left"/>
    </w:pPr>
    <w:rPr>
      <w:b/>
      <w:snapToGrid/>
      <w:sz w:val="40"/>
      <w:lang w:val="en-GB" w:eastAsia="en-US"/>
    </w:rPr>
  </w:style>
  <w:style w:type="paragraph" w:customStyle="1" w:styleId="SLG">
    <w:name w:val="__S_L_G"/>
    <w:basedOn w:val="Normal"/>
    <w:next w:val="Normal"/>
    <w:rsid w:val="00244AF4"/>
    <w:pPr>
      <w:keepNext/>
      <w:keepLines/>
      <w:tabs>
        <w:tab w:val="clear" w:pos="431"/>
      </w:tabs>
      <w:suppressAutoHyphens/>
      <w:overflowPunct/>
      <w:adjustRightInd/>
      <w:snapToGrid/>
      <w:spacing w:before="240" w:after="240" w:line="580" w:lineRule="exact"/>
      <w:ind w:left="1134" w:right="1134"/>
      <w:jc w:val="left"/>
    </w:pPr>
    <w:rPr>
      <w:b/>
      <w:snapToGrid/>
      <w:sz w:val="56"/>
      <w:lang w:val="en-GB" w:eastAsia="en-US"/>
    </w:rPr>
  </w:style>
  <w:style w:type="paragraph" w:customStyle="1" w:styleId="SSG">
    <w:name w:val="__S_S_G"/>
    <w:basedOn w:val="Normal"/>
    <w:next w:val="Normal"/>
    <w:rsid w:val="00244AF4"/>
    <w:pPr>
      <w:keepNext/>
      <w:keepLines/>
      <w:tabs>
        <w:tab w:val="clear" w:pos="431"/>
      </w:tabs>
      <w:suppressAutoHyphens/>
      <w:overflowPunct/>
      <w:adjustRightInd/>
      <w:snapToGrid/>
      <w:spacing w:before="240" w:after="240" w:line="300" w:lineRule="exact"/>
      <w:ind w:left="1134" w:right="1134"/>
      <w:jc w:val="left"/>
    </w:pPr>
    <w:rPr>
      <w:b/>
      <w:snapToGrid/>
      <w:sz w:val="28"/>
      <w:lang w:val="en-GB" w:eastAsia="en-US"/>
    </w:rPr>
  </w:style>
  <w:style w:type="paragraph" w:customStyle="1" w:styleId="XLargeG">
    <w:name w:val="__XLarge_G"/>
    <w:basedOn w:val="Normal"/>
    <w:next w:val="Normal"/>
    <w:rsid w:val="00244AF4"/>
    <w:pPr>
      <w:keepNext/>
      <w:keepLines/>
      <w:tabs>
        <w:tab w:val="clear" w:pos="431"/>
      </w:tabs>
      <w:suppressAutoHyphens/>
      <w:overflowPunct/>
      <w:adjustRightInd/>
      <w:snapToGrid/>
      <w:spacing w:before="240" w:after="240" w:line="420" w:lineRule="exact"/>
      <w:ind w:left="1134" w:right="1134"/>
      <w:jc w:val="left"/>
    </w:pPr>
    <w:rPr>
      <w:b/>
      <w:snapToGrid/>
      <w:sz w:val="40"/>
      <w:lang w:val="en-GB" w:eastAsia="en-US"/>
    </w:rPr>
  </w:style>
  <w:style w:type="paragraph" w:customStyle="1" w:styleId="Bullet1G">
    <w:name w:val="_Bullet 1_G"/>
    <w:basedOn w:val="Normal"/>
    <w:rsid w:val="00244AF4"/>
    <w:pPr>
      <w:numPr>
        <w:numId w:val="5"/>
      </w:numPr>
      <w:tabs>
        <w:tab w:val="clear" w:pos="431"/>
      </w:tabs>
      <w:suppressAutoHyphens/>
      <w:overflowPunct/>
      <w:adjustRightInd/>
      <w:snapToGrid/>
      <w:spacing w:after="120" w:line="240" w:lineRule="atLeast"/>
      <w:ind w:right="1134"/>
    </w:pPr>
    <w:rPr>
      <w:snapToGrid/>
      <w:sz w:val="20"/>
      <w:lang w:val="en-GB" w:eastAsia="en-US"/>
    </w:rPr>
  </w:style>
  <w:style w:type="table" w:styleId="TableGrid">
    <w:name w:val="Table Grid"/>
    <w:basedOn w:val="TableNormal"/>
    <w:rsid w:val="00244AF4"/>
    <w:pPr>
      <w:suppressAutoHyphens/>
      <w:spacing w:line="240" w:lineRule="atLeast"/>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mmentReference">
    <w:name w:val="annotation reference"/>
    <w:uiPriority w:val="99"/>
    <w:semiHidden/>
    <w:rsid w:val="00244AF4"/>
    <w:rPr>
      <w:sz w:val="16"/>
      <w:szCs w:val="16"/>
    </w:rPr>
  </w:style>
  <w:style w:type="paragraph" w:styleId="CommentText">
    <w:name w:val="annotation text"/>
    <w:basedOn w:val="Normal"/>
    <w:link w:val="CommentTextChar"/>
    <w:uiPriority w:val="99"/>
    <w:rsid w:val="00244AF4"/>
    <w:pPr>
      <w:tabs>
        <w:tab w:val="clear" w:pos="431"/>
      </w:tabs>
      <w:overflowPunct/>
      <w:adjustRightInd/>
      <w:snapToGrid/>
      <w:spacing w:line="240" w:lineRule="auto"/>
      <w:jc w:val="left"/>
    </w:pPr>
    <w:rPr>
      <w:snapToGrid/>
      <w:sz w:val="20"/>
      <w:lang w:val="en-GB" w:eastAsia="en-US"/>
    </w:rPr>
  </w:style>
  <w:style w:type="character" w:customStyle="1" w:styleId="CommentTextChar">
    <w:name w:val="Comment Text Char"/>
    <w:basedOn w:val="DefaultParagraphFont"/>
    <w:link w:val="CommentText"/>
    <w:uiPriority w:val="99"/>
    <w:rsid w:val="00244AF4"/>
    <w:rPr>
      <w:lang w:val="en-GB" w:eastAsia="en-US"/>
    </w:rPr>
  </w:style>
  <w:style w:type="paragraph" w:styleId="CommentSubject">
    <w:name w:val="annotation subject"/>
    <w:basedOn w:val="CommentText"/>
    <w:next w:val="CommentText"/>
    <w:link w:val="CommentSubjectChar"/>
    <w:uiPriority w:val="99"/>
    <w:semiHidden/>
    <w:rsid w:val="00244AF4"/>
    <w:rPr>
      <w:b/>
      <w:bCs/>
      <w:lang w:val="x-none"/>
    </w:rPr>
  </w:style>
  <w:style w:type="character" w:customStyle="1" w:styleId="CommentSubjectChar">
    <w:name w:val="Comment Subject Char"/>
    <w:basedOn w:val="CommentTextChar"/>
    <w:link w:val="CommentSubject"/>
    <w:uiPriority w:val="99"/>
    <w:semiHidden/>
    <w:rsid w:val="00244AF4"/>
    <w:rPr>
      <w:b/>
      <w:bCs/>
      <w:lang w:val="x-none" w:eastAsia="en-US"/>
    </w:rPr>
  </w:style>
  <w:style w:type="paragraph" w:customStyle="1" w:styleId="Bullet2G">
    <w:name w:val="_Bullet 2_G"/>
    <w:basedOn w:val="Normal"/>
    <w:rsid w:val="00244AF4"/>
    <w:pPr>
      <w:numPr>
        <w:numId w:val="6"/>
      </w:numPr>
      <w:tabs>
        <w:tab w:val="clear" w:pos="431"/>
      </w:tabs>
      <w:suppressAutoHyphens/>
      <w:overflowPunct/>
      <w:adjustRightInd/>
      <w:snapToGrid/>
      <w:spacing w:after="120" w:line="240" w:lineRule="atLeast"/>
      <w:ind w:right="1134"/>
    </w:pPr>
    <w:rPr>
      <w:snapToGrid/>
      <w:sz w:val="20"/>
      <w:lang w:val="en-GB" w:eastAsia="en-US"/>
    </w:rPr>
  </w:style>
  <w:style w:type="paragraph" w:customStyle="1" w:styleId="H1G">
    <w:name w:val="_ H_1_G"/>
    <w:basedOn w:val="Normal"/>
    <w:next w:val="Normal"/>
    <w:rsid w:val="00244AF4"/>
    <w:pPr>
      <w:keepNext/>
      <w:keepLines/>
      <w:tabs>
        <w:tab w:val="clear" w:pos="431"/>
        <w:tab w:val="right" w:pos="851"/>
      </w:tabs>
      <w:suppressAutoHyphens/>
      <w:overflowPunct/>
      <w:adjustRightInd/>
      <w:snapToGrid/>
      <w:spacing w:before="360" w:after="240" w:line="270" w:lineRule="exact"/>
      <w:ind w:left="1134" w:right="1134" w:hanging="1134"/>
      <w:jc w:val="left"/>
    </w:pPr>
    <w:rPr>
      <w:b/>
      <w:snapToGrid/>
      <w:sz w:val="24"/>
      <w:lang w:val="en-GB" w:eastAsia="en-US"/>
    </w:rPr>
  </w:style>
  <w:style w:type="paragraph" w:customStyle="1" w:styleId="H23G">
    <w:name w:val="_ H_2/3_G"/>
    <w:basedOn w:val="Normal"/>
    <w:next w:val="Normal"/>
    <w:rsid w:val="00244AF4"/>
    <w:pPr>
      <w:keepNext/>
      <w:keepLines/>
      <w:tabs>
        <w:tab w:val="clear" w:pos="431"/>
        <w:tab w:val="right" w:pos="851"/>
      </w:tabs>
      <w:suppressAutoHyphens/>
      <w:overflowPunct/>
      <w:adjustRightInd/>
      <w:snapToGrid/>
      <w:spacing w:before="240" w:after="120" w:line="240" w:lineRule="exact"/>
      <w:ind w:left="1134" w:right="1134" w:hanging="1134"/>
      <w:jc w:val="left"/>
    </w:pPr>
    <w:rPr>
      <w:b/>
      <w:snapToGrid/>
      <w:sz w:val="20"/>
      <w:lang w:val="en-GB" w:eastAsia="en-US"/>
    </w:rPr>
  </w:style>
  <w:style w:type="paragraph" w:customStyle="1" w:styleId="H4G">
    <w:name w:val="_ H_4_G"/>
    <w:basedOn w:val="Normal"/>
    <w:next w:val="Normal"/>
    <w:link w:val="H4GChar"/>
    <w:rsid w:val="00244AF4"/>
    <w:pPr>
      <w:keepNext/>
      <w:keepLines/>
      <w:tabs>
        <w:tab w:val="clear" w:pos="431"/>
        <w:tab w:val="right" w:pos="851"/>
      </w:tabs>
      <w:suppressAutoHyphens/>
      <w:overflowPunct/>
      <w:adjustRightInd/>
      <w:snapToGrid/>
      <w:spacing w:before="240" w:after="120" w:line="240" w:lineRule="exact"/>
      <w:ind w:left="1134" w:right="1134" w:hanging="1134"/>
      <w:jc w:val="left"/>
    </w:pPr>
    <w:rPr>
      <w:i/>
      <w:snapToGrid/>
      <w:sz w:val="20"/>
      <w:lang w:val="x-none" w:eastAsia="en-US"/>
    </w:rPr>
  </w:style>
  <w:style w:type="paragraph" w:customStyle="1" w:styleId="H56G">
    <w:name w:val="_ H_5/6_G"/>
    <w:basedOn w:val="Normal"/>
    <w:next w:val="Normal"/>
    <w:rsid w:val="00244AF4"/>
    <w:pPr>
      <w:keepNext/>
      <w:keepLines/>
      <w:tabs>
        <w:tab w:val="clear" w:pos="431"/>
        <w:tab w:val="right" w:pos="851"/>
      </w:tabs>
      <w:suppressAutoHyphens/>
      <w:overflowPunct/>
      <w:adjustRightInd/>
      <w:snapToGrid/>
      <w:spacing w:before="240" w:after="120" w:line="240" w:lineRule="exact"/>
      <w:ind w:left="1134" w:right="1134" w:hanging="1134"/>
      <w:jc w:val="left"/>
    </w:pPr>
    <w:rPr>
      <w:snapToGrid/>
      <w:sz w:val="20"/>
      <w:lang w:val="en-GB" w:eastAsia="en-US"/>
    </w:rPr>
  </w:style>
  <w:style w:type="numbering" w:styleId="111111">
    <w:name w:val="Outline List 2"/>
    <w:basedOn w:val="NoList"/>
    <w:semiHidden/>
    <w:rsid w:val="00244AF4"/>
    <w:pPr>
      <w:numPr>
        <w:numId w:val="7"/>
      </w:numPr>
    </w:pPr>
  </w:style>
  <w:style w:type="numbering" w:styleId="1ai">
    <w:name w:val="Outline List 1"/>
    <w:basedOn w:val="NoList"/>
    <w:semiHidden/>
    <w:rsid w:val="00244AF4"/>
    <w:pPr>
      <w:numPr>
        <w:numId w:val="8"/>
      </w:numPr>
    </w:pPr>
  </w:style>
  <w:style w:type="paragraph" w:styleId="NormalWeb">
    <w:name w:val="Normal (Web)"/>
    <w:basedOn w:val="Normal"/>
    <w:uiPriority w:val="99"/>
    <w:semiHidden/>
    <w:unhideWhenUsed/>
    <w:rsid w:val="00244AF4"/>
    <w:pPr>
      <w:tabs>
        <w:tab w:val="clear" w:pos="431"/>
      </w:tabs>
      <w:overflowPunct/>
      <w:adjustRightInd/>
      <w:snapToGrid/>
      <w:spacing w:before="100" w:beforeAutospacing="1" w:after="100" w:afterAutospacing="1" w:line="240" w:lineRule="auto"/>
      <w:jc w:val="left"/>
    </w:pPr>
    <w:rPr>
      <w:snapToGrid/>
      <w:sz w:val="24"/>
      <w:szCs w:val="24"/>
      <w:lang w:val="nl-BE" w:eastAsia="nl-BE"/>
    </w:rPr>
  </w:style>
  <w:style w:type="paragraph" w:customStyle="1" w:styleId="Listenabsatz">
    <w:name w:val="Listenabsatz"/>
    <w:basedOn w:val="Normal"/>
    <w:qFormat/>
    <w:rsid w:val="00244AF4"/>
    <w:pPr>
      <w:tabs>
        <w:tab w:val="clear" w:pos="431"/>
      </w:tabs>
      <w:overflowPunct/>
      <w:adjustRightInd/>
      <w:snapToGrid/>
      <w:spacing w:line="240" w:lineRule="auto"/>
      <w:ind w:left="708"/>
      <w:jc w:val="left"/>
    </w:pPr>
    <w:rPr>
      <w:snapToGrid/>
      <w:sz w:val="24"/>
      <w:szCs w:val="24"/>
      <w:lang w:val="en-GB" w:eastAsia="en-US"/>
    </w:rPr>
  </w:style>
  <w:style w:type="paragraph" w:customStyle="1" w:styleId="berarbeitung">
    <w:name w:val="Überarbeitung"/>
    <w:hidden/>
    <w:semiHidden/>
    <w:rsid w:val="00244AF4"/>
    <w:rPr>
      <w:sz w:val="24"/>
      <w:szCs w:val="24"/>
      <w:lang w:val="en-GB" w:eastAsia="en-US"/>
    </w:rPr>
  </w:style>
  <w:style w:type="paragraph" w:customStyle="1" w:styleId="ColorfulList-Accent11">
    <w:name w:val="Colorful List - Accent 11"/>
    <w:basedOn w:val="Normal"/>
    <w:qFormat/>
    <w:rsid w:val="00244AF4"/>
    <w:pPr>
      <w:tabs>
        <w:tab w:val="clear" w:pos="431"/>
      </w:tabs>
      <w:overflowPunct/>
      <w:adjustRightInd/>
      <w:snapToGrid/>
      <w:spacing w:after="200" w:line="240" w:lineRule="auto"/>
      <w:ind w:left="720"/>
      <w:contextualSpacing/>
      <w:jc w:val="left"/>
    </w:pPr>
    <w:rPr>
      <w:snapToGrid/>
      <w:sz w:val="24"/>
      <w:szCs w:val="24"/>
      <w:lang w:val="en-GB" w:eastAsia="en-US"/>
    </w:rPr>
  </w:style>
  <w:style w:type="paragraph" w:customStyle="1" w:styleId="Default">
    <w:name w:val="Default"/>
    <w:rsid w:val="00244AF4"/>
    <w:pPr>
      <w:autoSpaceDE w:val="0"/>
      <w:autoSpaceDN w:val="0"/>
      <w:adjustRightInd w:val="0"/>
    </w:pPr>
    <w:rPr>
      <w:rFonts w:eastAsia="Calibri"/>
      <w:color w:val="000000"/>
      <w:sz w:val="24"/>
      <w:szCs w:val="24"/>
      <w:lang w:val="nl-BE" w:eastAsia="en-US"/>
    </w:rPr>
  </w:style>
  <w:style w:type="paragraph" w:styleId="TOC1">
    <w:name w:val="toc 1"/>
    <w:basedOn w:val="Normal"/>
    <w:next w:val="Normal"/>
    <w:autoRedefine/>
    <w:uiPriority w:val="39"/>
    <w:rsid w:val="00244AF4"/>
    <w:pPr>
      <w:tabs>
        <w:tab w:val="clear" w:pos="431"/>
      </w:tabs>
      <w:overflowPunct/>
      <w:adjustRightInd/>
      <w:snapToGrid/>
      <w:spacing w:before="120" w:line="240" w:lineRule="auto"/>
      <w:jc w:val="left"/>
    </w:pPr>
    <w:rPr>
      <w:b/>
      <w:snapToGrid/>
      <w:sz w:val="24"/>
      <w:szCs w:val="24"/>
      <w:lang w:val="en-GB" w:eastAsia="en-US"/>
    </w:rPr>
  </w:style>
  <w:style w:type="paragraph" w:styleId="TOC2">
    <w:name w:val="toc 2"/>
    <w:basedOn w:val="Normal"/>
    <w:next w:val="Normal"/>
    <w:autoRedefine/>
    <w:uiPriority w:val="39"/>
    <w:rsid w:val="00244AF4"/>
    <w:pPr>
      <w:tabs>
        <w:tab w:val="clear" w:pos="431"/>
      </w:tabs>
      <w:overflowPunct/>
      <w:adjustRightInd/>
      <w:snapToGrid/>
      <w:spacing w:line="240" w:lineRule="auto"/>
      <w:ind w:left="240"/>
      <w:jc w:val="left"/>
    </w:pPr>
    <w:rPr>
      <w:b/>
      <w:snapToGrid/>
      <w:sz w:val="22"/>
      <w:szCs w:val="22"/>
      <w:lang w:val="en-GB" w:eastAsia="en-US"/>
    </w:rPr>
  </w:style>
  <w:style w:type="paragraph" w:styleId="TOC3">
    <w:name w:val="toc 3"/>
    <w:basedOn w:val="Normal"/>
    <w:next w:val="Normal"/>
    <w:autoRedefine/>
    <w:uiPriority w:val="39"/>
    <w:rsid w:val="00244AF4"/>
    <w:pPr>
      <w:tabs>
        <w:tab w:val="clear" w:pos="431"/>
      </w:tabs>
      <w:overflowPunct/>
      <w:adjustRightInd/>
      <w:snapToGrid/>
      <w:spacing w:line="240" w:lineRule="auto"/>
      <w:ind w:left="480"/>
      <w:jc w:val="left"/>
    </w:pPr>
    <w:rPr>
      <w:snapToGrid/>
      <w:sz w:val="22"/>
      <w:szCs w:val="22"/>
      <w:lang w:val="en-GB" w:eastAsia="en-US"/>
    </w:rPr>
  </w:style>
  <w:style w:type="character" w:styleId="Emphasis">
    <w:name w:val="Emphasis"/>
    <w:uiPriority w:val="20"/>
    <w:qFormat/>
    <w:rsid w:val="00244AF4"/>
    <w:rPr>
      <w:i/>
      <w:iCs/>
    </w:rPr>
  </w:style>
  <w:style w:type="paragraph" w:styleId="EnvelopeReturn">
    <w:name w:val="envelope return"/>
    <w:basedOn w:val="Normal"/>
    <w:semiHidden/>
    <w:rsid w:val="00244AF4"/>
    <w:pPr>
      <w:tabs>
        <w:tab w:val="clear" w:pos="431"/>
      </w:tabs>
      <w:suppressAutoHyphens/>
      <w:overflowPunct/>
      <w:adjustRightInd/>
      <w:snapToGrid/>
      <w:spacing w:line="240" w:lineRule="atLeast"/>
      <w:jc w:val="left"/>
    </w:pPr>
    <w:rPr>
      <w:rFonts w:ascii="Arial" w:hAnsi="Arial" w:cs="Arial"/>
      <w:snapToGrid/>
      <w:sz w:val="20"/>
      <w:lang w:val="en-GB" w:eastAsia="en-US"/>
    </w:rPr>
  </w:style>
  <w:style w:type="character" w:styleId="HTMLAcronym">
    <w:name w:val="HTML Acronym"/>
    <w:basedOn w:val="DefaultParagraphFont"/>
    <w:semiHidden/>
    <w:rsid w:val="00244AF4"/>
  </w:style>
  <w:style w:type="paragraph" w:customStyle="1" w:styleId="Heading4---">
    <w:name w:val="Heading 4---"/>
    <w:basedOn w:val="Normal"/>
    <w:autoRedefine/>
    <w:qFormat/>
    <w:rsid w:val="00244AF4"/>
    <w:pPr>
      <w:widowControl w:val="0"/>
      <w:tabs>
        <w:tab w:val="clear" w:pos="43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autoSpaceDE w:val="0"/>
      <w:autoSpaceDN w:val="0"/>
      <w:snapToGrid/>
      <w:spacing w:before="160" w:line="360" w:lineRule="auto"/>
      <w:jc w:val="center"/>
    </w:pPr>
    <w:rPr>
      <w:b/>
      <w:iCs/>
      <w:snapToGrid/>
      <w:sz w:val="24"/>
      <w:szCs w:val="24"/>
      <w:lang w:eastAsia="en-US"/>
    </w:rPr>
  </w:style>
  <w:style w:type="paragraph" w:customStyle="1" w:styleId="ColorfulShading-Accent11">
    <w:name w:val="Colorful Shading - Accent 11"/>
    <w:hidden/>
    <w:uiPriority w:val="99"/>
    <w:semiHidden/>
    <w:rsid w:val="00244AF4"/>
    <w:rPr>
      <w:rFonts w:ascii="Calibri" w:eastAsia="Calibri" w:hAnsi="Calibri"/>
      <w:sz w:val="22"/>
      <w:szCs w:val="22"/>
      <w:lang w:val="en-GB" w:eastAsia="en-US"/>
    </w:rPr>
  </w:style>
  <w:style w:type="paragraph" w:customStyle="1" w:styleId="ColorfulList-Accent12">
    <w:name w:val="Colorful List - Accent 12"/>
    <w:basedOn w:val="Normal"/>
    <w:uiPriority w:val="34"/>
    <w:qFormat/>
    <w:rsid w:val="00244AF4"/>
    <w:pPr>
      <w:tabs>
        <w:tab w:val="clear" w:pos="431"/>
      </w:tabs>
      <w:overflowPunct/>
      <w:adjustRightInd/>
      <w:snapToGrid/>
      <w:spacing w:after="200" w:line="276" w:lineRule="auto"/>
      <w:ind w:left="720"/>
      <w:contextualSpacing/>
      <w:jc w:val="left"/>
    </w:pPr>
    <w:rPr>
      <w:rFonts w:ascii="Calibri" w:eastAsia="Calibri" w:hAnsi="Calibri"/>
      <w:snapToGrid/>
      <w:sz w:val="22"/>
      <w:szCs w:val="22"/>
      <w:lang w:val="en-GB" w:eastAsia="en-US"/>
    </w:rPr>
  </w:style>
  <w:style w:type="paragraph" w:customStyle="1" w:styleId="BodyA">
    <w:name w:val="Body A"/>
    <w:rsid w:val="00244AF4"/>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tr-TR" w:eastAsia="tr-TR"/>
    </w:rPr>
  </w:style>
  <w:style w:type="character" w:customStyle="1" w:styleId="EndnoteTextChar1">
    <w:name w:val="Endnote Text Char1"/>
    <w:aliases w:val="2_G Char1"/>
    <w:rsid w:val="00244AF4"/>
    <w:rPr>
      <w:sz w:val="18"/>
      <w:lang w:eastAsia="en-US"/>
    </w:rPr>
  </w:style>
  <w:style w:type="character" w:customStyle="1" w:styleId="SingleTxtGChar">
    <w:name w:val="_ Single Txt_G Char"/>
    <w:link w:val="SingleTxtG"/>
    <w:rsid w:val="00244AF4"/>
    <w:rPr>
      <w:lang w:val="x-none" w:eastAsia="en-US"/>
    </w:rPr>
  </w:style>
  <w:style w:type="character" w:customStyle="1" w:styleId="5GChar2">
    <w:name w:val="5_G Char2"/>
    <w:aliases w:val="Footnote Text Char Char Char Char Char Char Char Char1,Footnote Text Char Char Char Char Char Char2,Footnote Text Char Char Char Char Char Char Char2,Footnote Text Char2 Char1 Char"/>
    <w:rsid w:val="00244AF4"/>
    <w:rPr>
      <w:sz w:val="18"/>
      <w:lang w:eastAsia="en-US"/>
    </w:rPr>
  </w:style>
  <w:style w:type="character" w:customStyle="1" w:styleId="categorydata2">
    <w:name w:val="category_data2"/>
    <w:rsid w:val="00244AF4"/>
    <w:rPr>
      <w:rFonts w:ascii="Arial" w:hAnsi="Arial" w:cs="Arial" w:hint="default"/>
      <w:color w:val="707070"/>
      <w:spacing w:val="15"/>
      <w:sz w:val="17"/>
      <w:szCs w:val="17"/>
    </w:rPr>
  </w:style>
  <w:style w:type="character" w:customStyle="1" w:styleId="apple-converted-space">
    <w:name w:val="apple-converted-space"/>
    <w:rsid w:val="00244AF4"/>
  </w:style>
  <w:style w:type="character" w:styleId="Strong">
    <w:name w:val="Strong"/>
    <w:uiPriority w:val="22"/>
    <w:qFormat/>
    <w:rsid w:val="00244AF4"/>
    <w:rPr>
      <w:b/>
      <w:bCs/>
    </w:rPr>
  </w:style>
  <w:style w:type="character" w:customStyle="1" w:styleId="spnmessagetext">
    <w:name w:val="spnmessagetext"/>
    <w:rsid w:val="00244AF4"/>
  </w:style>
  <w:style w:type="character" w:customStyle="1" w:styleId="HChGChar">
    <w:name w:val="_ H _Ch_G Char"/>
    <w:link w:val="HChG"/>
    <w:rsid w:val="00244AF4"/>
    <w:rPr>
      <w:b/>
      <w:sz w:val="28"/>
      <w:lang w:val="x-none" w:eastAsia="en-US"/>
    </w:rPr>
  </w:style>
  <w:style w:type="character" w:customStyle="1" w:styleId="H4GChar">
    <w:name w:val="_ H_4_G Char"/>
    <w:link w:val="H4G"/>
    <w:rsid w:val="00244AF4"/>
    <w:rPr>
      <w:i/>
      <w:lang w:val="x-none" w:eastAsia="en-US"/>
    </w:rPr>
  </w:style>
  <w:style w:type="character" w:customStyle="1" w:styleId="st">
    <w:name w:val="st"/>
    <w:rsid w:val="00244AF4"/>
  </w:style>
  <w:style w:type="paragraph" w:styleId="EnvelopeAddress">
    <w:name w:val="envelope address"/>
    <w:basedOn w:val="Normal"/>
    <w:semiHidden/>
    <w:rsid w:val="00244AF4"/>
    <w:pPr>
      <w:framePr w:w="7920" w:h="1980" w:hRule="exact" w:hSpace="180" w:wrap="auto" w:hAnchor="page" w:xAlign="center" w:yAlign="bottom"/>
      <w:tabs>
        <w:tab w:val="clear" w:pos="431"/>
      </w:tabs>
      <w:suppressAutoHyphens/>
      <w:overflowPunct/>
      <w:adjustRightInd/>
      <w:snapToGrid/>
      <w:spacing w:line="240" w:lineRule="atLeast"/>
      <w:ind w:left="2880"/>
      <w:jc w:val="left"/>
    </w:pPr>
    <w:rPr>
      <w:rFonts w:ascii="Arial" w:hAnsi="Arial" w:cs="Arial"/>
      <w:snapToGrid/>
      <w:sz w:val="24"/>
      <w:szCs w:val="24"/>
      <w:lang w:val="en-GB" w:eastAsia="en-US"/>
    </w:rPr>
  </w:style>
  <w:style w:type="paragraph" w:customStyle="1" w:styleId="Normal1">
    <w:name w:val="Normal1"/>
    <w:rsid w:val="00244AF4"/>
    <w:rPr>
      <w:rFonts w:ascii="Cambria" w:eastAsia="Cambria" w:hAnsi="Cambria" w:cs="Cambria"/>
      <w:color w:val="000000"/>
      <w:sz w:val="24"/>
      <w:szCs w:val="24"/>
      <w:lang w:val="en-ZA" w:eastAsia="en-US"/>
    </w:rPr>
  </w:style>
  <w:style w:type="character" w:customStyle="1" w:styleId="CommentTextChar1">
    <w:name w:val="Comment Text Char1"/>
    <w:uiPriority w:val="99"/>
    <w:rsid w:val="00244AF4"/>
    <w:rPr>
      <w:rFonts w:ascii="Cambria" w:eastAsia="Cambria" w:hAnsi="Cambria" w:cs="Cambria"/>
      <w:color w:val="000000"/>
      <w:lang w:val="en-ZA"/>
    </w:rPr>
  </w:style>
  <w:style w:type="paragraph" w:styleId="ListParagraph">
    <w:name w:val="List Paragraph"/>
    <w:basedOn w:val="Normal"/>
    <w:uiPriority w:val="34"/>
    <w:qFormat/>
    <w:rsid w:val="00244AF4"/>
    <w:pPr>
      <w:tabs>
        <w:tab w:val="clear" w:pos="431"/>
      </w:tabs>
      <w:overflowPunct/>
      <w:adjustRightInd/>
      <w:snapToGrid/>
      <w:spacing w:line="240" w:lineRule="auto"/>
      <w:ind w:left="720"/>
      <w:contextualSpacing/>
      <w:jc w:val="left"/>
    </w:pPr>
    <w:rPr>
      <w:rFonts w:ascii="Cambria" w:eastAsia="Cambria" w:hAnsi="Cambria" w:cs="Cambria"/>
      <w:snapToGrid/>
      <w:color w:val="000000"/>
      <w:sz w:val="24"/>
      <w:szCs w:val="24"/>
      <w:lang w:val="en-ZA" w:eastAsia="en-US"/>
    </w:rPr>
  </w:style>
  <w:style w:type="paragraph" w:styleId="TOC4">
    <w:name w:val="toc 4"/>
    <w:basedOn w:val="Normal"/>
    <w:next w:val="Normal"/>
    <w:autoRedefine/>
    <w:uiPriority w:val="39"/>
    <w:unhideWhenUsed/>
    <w:rsid w:val="00244AF4"/>
    <w:pPr>
      <w:tabs>
        <w:tab w:val="clear" w:pos="431"/>
      </w:tabs>
      <w:overflowPunct/>
      <w:adjustRightInd/>
      <w:snapToGrid/>
      <w:spacing w:line="240" w:lineRule="auto"/>
      <w:ind w:left="720"/>
      <w:jc w:val="left"/>
    </w:pPr>
    <w:rPr>
      <w:rFonts w:ascii="Cambria" w:eastAsia="MS Mincho" w:hAnsi="Cambria"/>
      <w:snapToGrid/>
      <w:sz w:val="20"/>
      <w:lang w:eastAsia="en-US"/>
    </w:rPr>
  </w:style>
  <w:style w:type="paragraph" w:styleId="TOC5">
    <w:name w:val="toc 5"/>
    <w:basedOn w:val="Normal"/>
    <w:next w:val="Normal"/>
    <w:autoRedefine/>
    <w:uiPriority w:val="39"/>
    <w:unhideWhenUsed/>
    <w:rsid w:val="00244AF4"/>
    <w:pPr>
      <w:tabs>
        <w:tab w:val="clear" w:pos="431"/>
      </w:tabs>
      <w:overflowPunct/>
      <w:adjustRightInd/>
      <w:snapToGrid/>
      <w:spacing w:line="240" w:lineRule="auto"/>
      <w:ind w:left="960"/>
      <w:jc w:val="left"/>
    </w:pPr>
    <w:rPr>
      <w:rFonts w:ascii="Cambria" w:eastAsia="MS Mincho" w:hAnsi="Cambria"/>
      <w:snapToGrid/>
      <w:sz w:val="20"/>
      <w:lang w:eastAsia="en-US"/>
    </w:rPr>
  </w:style>
  <w:style w:type="paragraph" w:styleId="TOC6">
    <w:name w:val="toc 6"/>
    <w:basedOn w:val="Normal"/>
    <w:next w:val="Normal"/>
    <w:autoRedefine/>
    <w:uiPriority w:val="39"/>
    <w:unhideWhenUsed/>
    <w:rsid w:val="00244AF4"/>
    <w:pPr>
      <w:tabs>
        <w:tab w:val="clear" w:pos="431"/>
      </w:tabs>
      <w:overflowPunct/>
      <w:adjustRightInd/>
      <w:snapToGrid/>
      <w:spacing w:line="240" w:lineRule="auto"/>
      <w:ind w:left="1200"/>
      <w:jc w:val="left"/>
    </w:pPr>
    <w:rPr>
      <w:rFonts w:ascii="Cambria" w:eastAsia="MS Mincho" w:hAnsi="Cambria"/>
      <w:snapToGrid/>
      <w:sz w:val="20"/>
      <w:lang w:eastAsia="en-US"/>
    </w:rPr>
  </w:style>
  <w:style w:type="paragraph" w:styleId="TOC7">
    <w:name w:val="toc 7"/>
    <w:basedOn w:val="Normal"/>
    <w:next w:val="Normal"/>
    <w:autoRedefine/>
    <w:uiPriority w:val="39"/>
    <w:unhideWhenUsed/>
    <w:rsid w:val="00244AF4"/>
    <w:pPr>
      <w:tabs>
        <w:tab w:val="clear" w:pos="431"/>
      </w:tabs>
      <w:overflowPunct/>
      <w:adjustRightInd/>
      <w:snapToGrid/>
      <w:spacing w:line="240" w:lineRule="auto"/>
      <w:ind w:left="1440"/>
      <w:jc w:val="left"/>
    </w:pPr>
    <w:rPr>
      <w:rFonts w:ascii="Cambria" w:eastAsia="MS Mincho" w:hAnsi="Cambria"/>
      <w:snapToGrid/>
      <w:sz w:val="20"/>
      <w:lang w:eastAsia="en-US"/>
    </w:rPr>
  </w:style>
  <w:style w:type="paragraph" w:styleId="TOC8">
    <w:name w:val="toc 8"/>
    <w:basedOn w:val="Normal"/>
    <w:next w:val="Normal"/>
    <w:autoRedefine/>
    <w:uiPriority w:val="39"/>
    <w:unhideWhenUsed/>
    <w:rsid w:val="00244AF4"/>
    <w:pPr>
      <w:tabs>
        <w:tab w:val="clear" w:pos="431"/>
      </w:tabs>
      <w:overflowPunct/>
      <w:adjustRightInd/>
      <w:snapToGrid/>
      <w:spacing w:line="240" w:lineRule="auto"/>
      <w:ind w:left="1680"/>
      <w:jc w:val="left"/>
    </w:pPr>
    <w:rPr>
      <w:rFonts w:ascii="Cambria" w:eastAsia="MS Mincho" w:hAnsi="Cambria"/>
      <w:snapToGrid/>
      <w:sz w:val="20"/>
      <w:lang w:eastAsia="en-US"/>
    </w:rPr>
  </w:style>
  <w:style w:type="paragraph" w:styleId="TOC9">
    <w:name w:val="toc 9"/>
    <w:basedOn w:val="Normal"/>
    <w:next w:val="Normal"/>
    <w:autoRedefine/>
    <w:uiPriority w:val="39"/>
    <w:unhideWhenUsed/>
    <w:rsid w:val="00244AF4"/>
    <w:pPr>
      <w:tabs>
        <w:tab w:val="clear" w:pos="431"/>
      </w:tabs>
      <w:overflowPunct/>
      <w:adjustRightInd/>
      <w:snapToGrid/>
      <w:spacing w:line="240" w:lineRule="auto"/>
      <w:ind w:left="1920"/>
      <w:jc w:val="left"/>
    </w:pPr>
    <w:rPr>
      <w:rFonts w:ascii="Cambria" w:eastAsia="MS Mincho" w:hAnsi="Cambria"/>
      <w:snapToGrid/>
      <w:sz w:val="20"/>
      <w:lang w:eastAsia="en-US"/>
    </w:rPr>
  </w:style>
  <w:style w:type="paragraph" w:styleId="Revision">
    <w:name w:val="Revision"/>
    <w:hidden/>
    <w:uiPriority w:val="99"/>
    <w:rsid w:val="00244AF4"/>
    <w:rPr>
      <w:rFonts w:ascii="Cambria" w:eastAsia="MS Mincho" w:hAnsi="Cambria"/>
      <w:sz w:val="24"/>
      <w:szCs w:val="24"/>
      <w:lang w:eastAsia="en-US"/>
    </w:rPr>
  </w:style>
  <w:style w:type="paragraph" w:customStyle="1" w:styleId="f">
    <w:name w:val="f"/>
    <w:basedOn w:val="Normal1"/>
    <w:rsid w:val="00244AF4"/>
    <w:pPr>
      <w:numPr>
        <w:numId w:val="13"/>
      </w:numPr>
      <w:spacing w:line="276" w:lineRule="auto"/>
      <w:jc w:val="both"/>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01FDBF8B38F044A453686AF16D1A08" ma:contentTypeVersion="1" ma:contentTypeDescription="Create a new document." ma:contentTypeScope="" ma:versionID="a4602884a164a0f3e1dcce6d71e8a3c5">
  <xsd:schema xmlns:xsd="http://www.w3.org/2001/XMLSchema" xmlns:p="http://schemas.microsoft.com/office/2006/metadata/properties" xmlns:ns1="http://schemas.microsoft.com/sharepoint/v3" targetNamespace="http://schemas.microsoft.com/office/2006/metadata/properties" ma:root="true" ma:fieldsID="9010ccb213fe983c4e1016e9703d1b2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DE27D-764A-4217-92D4-597A3869E299}">
  <ds:schemaRefs>
    <ds:schemaRef ds:uri="http://schemas.microsoft.com/sharepoint/v3/contenttype/forms"/>
  </ds:schemaRefs>
</ds:datastoreItem>
</file>

<file path=customXml/itemProps2.xml><?xml version="1.0" encoding="utf-8"?>
<ds:datastoreItem xmlns:ds="http://schemas.openxmlformats.org/officeDocument/2006/customXml" ds:itemID="{293F5845-077C-4C62-8B3B-9C1930234E2A}">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6270F7BD-07F1-4FA5-9645-F555EA85B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76B06FC-98E8-4DB9-93AF-0604FEB02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emplate>
  <TotalTime>0</TotalTime>
  <Pages>22</Pages>
  <Words>2547</Words>
  <Characters>14472</Characters>
  <Application>Microsoft Office Word</Application>
  <DocSecurity>0</DocSecurity>
  <Lines>689</Lines>
  <Paragraphs>243</Paragraphs>
  <ScaleCrop>false</ScaleCrop>
  <HeadingPairs>
    <vt:vector size="2" baseType="variant">
      <vt:variant>
        <vt:lpstr>Title</vt:lpstr>
      </vt:variant>
      <vt:variant>
        <vt:i4>1</vt:i4>
      </vt:variant>
    </vt:vector>
  </HeadingPairs>
  <TitlesOfParts>
    <vt:vector size="1" baseType="lpstr">
      <vt:lpstr>1601527</vt:lpstr>
    </vt:vector>
  </TitlesOfParts>
  <Company>DCM</Company>
  <LinksUpToDate>false</LinksUpToDate>
  <CharactersWithSpaces>16776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compilation report of the Special Rapporteur on the rights to freedom of peaceful assembly and of association and the Special Rapporteur on extrajudicial, summary or arbitrary executions in Chinese</dc:title>
  <dc:subject>A/HRC/31/66</dc:subject>
  <dc:creator>JIA</dc:creator>
  <cp:lastModifiedBy>Jeff</cp:lastModifiedBy>
  <cp:revision>2</cp:revision>
  <cp:lastPrinted>2016-02-24T13:31:00Z</cp:lastPrinted>
  <dcterms:created xsi:type="dcterms:W3CDTF">2016-03-02T16:45:00Z</dcterms:created>
  <dcterms:modified xsi:type="dcterms:W3CDTF">2016-03-02T16:45:00Z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0x010100FE01FDBF8B38F044A453686AF16D1A08</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ies>
</file>