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E3" w:rsidRPr="007C7CE3" w:rsidRDefault="007C7CE3" w:rsidP="007C7CE3">
      <w:pPr>
        <w:shd w:val="clear" w:color="auto" w:fill="FFFFFF"/>
        <w:spacing w:after="0" w:line="240" w:lineRule="auto"/>
        <w:rPr>
          <w:rFonts w:ascii="Verdana" w:eastAsia="Times New Roman" w:hAnsi="Verdana" w:cs="Times New Roman"/>
          <w:color w:val="000000"/>
          <w:sz w:val="18"/>
          <w:szCs w:val="18"/>
        </w:rPr>
      </w:pPr>
      <w:bookmarkStart w:id="0" w:name="_GoBack"/>
      <w:bookmarkEnd w:id="0"/>
      <w:r w:rsidRPr="007C7CE3">
        <w:rPr>
          <w:rFonts w:ascii="Verdana" w:eastAsia="Times New Roman" w:hAnsi="Verdana" w:cs="Times New Roman"/>
          <w:color w:val="000000"/>
          <w:sz w:val="18"/>
          <w:szCs w:val="18"/>
        </w:rPr>
        <w:t>  </w:t>
      </w:r>
      <w:r w:rsidRPr="007C7CE3">
        <w:rPr>
          <w:rFonts w:ascii="Verdana" w:eastAsia="Times New Roman" w:hAnsi="Verdana" w:cs="Times New Roman"/>
          <w:noProof/>
          <w:color w:val="000000"/>
          <w:sz w:val="18"/>
          <w:szCs w:val="18"/>
        </w:rPr>
        <w:drawing>
          <wp:inline distT="0" distB="0" distL="0" distR="0" wp14:anchorId="28750C7C" wp14:editId="61E72E28">
            <wp:extent cx="304800" cy="304800"/>
            <wp:effectExtent l="0" t="0" r="0" b="0"/>
            <wp:docPr id="1" name="Picture 1" descr="http://www.ngoao.gov.iq/images/sys/articles/art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goao.gov.iq/images/sys/articles/artema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C7CE3">
        <w:rPr>
          <w:rFonts w:ascii="Verdana" w:eastAsia="Times New Roman" w:hAnsi="Verdana" w:cs="Times New Roman"/>
          <w:color w:val="000000"/>
          <w:sz w:val="18"/>
          <w:szCs w:val="18"/>
        </w:rPr>
        <w:t> </w:t>
      </w:r>
    </w:p>
    <w:p w:rsidR="007C7CE3" w:rsidRPr="007C7CE3" w:rsidRDefault="007C7CE3" w:rsidP="007C7CE3">
      <w:pPr>
        <w:shd w:val="clear" w:color="auto" w:fill="FFFFFF"/>
        <w:spacing w:before="150" w:after="150" w:line="240" w:lineRule="auto"/>
        <w:ind w:right="30"/>
        <w:jc w:val="right"/>
        <w:outlineLvl w:val="2"/>
        <w:rPr>
          <w:rFonts w:ascii="Tahoma" w:eastAsia="Times New Roman" w:hAnsi="Tahoma" w:cs="Tahoma"/>
          <w:b/>
          <w:bCs/>
          <w:color w:val="000000"/>
          <w:sz w:val="21"/>
          <w:szCs w:val="21"/>
        </w:rPr>
      </w:pPr>
      <w:r w:rsidRPr="007C7CE3">
        <w:rPr>
          <w:rFonts w:ascii="Tahoma" w:eastAsia="Times New Roman" w:hAnsi="Tahoma" w:cs="Tahoma"/>
          <w:b/>
          <w:bCs/>
          <w:color w:val="000000"/>
          <w:sz w:val="21"/>
          <w:szCs w:val="21"/>
          <w:rtl/>
        </w:rPr>
        <w:t>التعديل الأول لتعليمات تسهيل تنفيذ قانون</w:t>
      </w:r>
    </w:p>
    <w:tbl>
      <w:tblPr>
        <w:tblW w:w="7395" w:type="dxa"/>
        <w:tblCellSpacing w:w="6" w:type="dxa"/>
        <w:shd w:val="clear" w:color="auto" w:fill="FFFFFF"/>
        <w:tblCellMar>
          <w:left w:w="0" w:type="dxa"/>
          <w:right w:w="0" w:type="dxa"/>
        </w:tblCellMar>
        <w:tblLook w:val="04A0" w:firstRow="1" w:lastRow="0" w:firstColumn="1" w:lastColumn="0" w:noHBand="0" w:noVBand="1"/>
      </w:tblPr>
      <w:tblGrid>
        <w:gridCol w:w="7395"/>
      </w:tblGrid>
      <w:tr w:rsidR="007C7CE3" w:rsidRPr="007C7CE3" w:rsidTr="007C7CE3">
        <w:trPr>
          <w:tblCellSpacing w:w="6" w:type="dxa"/>
        </w:trPr>
        <w:tc>
          <w:tcPr>
            <w:tcW w:w="0" w:type="auto"/>
            <w:shd w:val="clear" w:color="auto" w:fill="FFFFFF"/>
            <w:tcMar>
              <w:top w:w="0" w:type="dxa"/>
              <w:left w:w="105" w:type="dxa"/>
              <w:bottom w:w="0" w:type="dxa"/>
              <w:right w:w="0" w:type="dxa"/>
            </w:tcMar>
            <w:hideMark/>
          </w:tcPr>
          <w:p w:rsidR="007C7CE3" w:rsidRPr="007C7CE3" w:rsidRDefault="007C7CE3" w:rsidP="007C7CE3">
            <w:pPr>
              <w:bidi/>
              <w:spacing w:after="0" w:line="240" w:lineRule="auto"/>
              <w:jc w:val="right"/>
              <w:rPr>
                <w:rFonts w:ascii="Tahoma" w:eastAsia="Times New Roman" w:hAnsi="Tahoma" w:cs="Tahoma"/>
                <w:b/>
                <w:bCs/>
                <w:color w:val="CC3300"/>
                <w:sz w:val="15"/>
                <w:szCs w:val="15"/>
              </w:rPr>
            </w:pPr>
            <w:r w:rsidRPr="007C7CE3">
              <w:rPr>
                <w:rFonts w:ascii="Tahoma" w:eastAsia="Times New Roman" w:hAnsi="Tahoma" w:cs="Tahoma"/>
                <w:b/>
                <w:bCs/>
                <w:color w:val="CC3300"/>
                <w:sz w:val="15"/>
                <w:szCs w:val="15"/>
                <w:rtl/>
              </w:rPr>
              <w:t>   </w:t>
            </w:r>
          </w:p>
        </w:tc>
      </w:tr>
      <w:tr w:rsidR="007C7CE3" w:rsidRPr="007C7CE3" w:rsidTr="007C7CE3">
        <w:trPr>
          <w:tblCellSpacing w:w="6" w:type="dxa"/>
        </w:trPr>
        <w:tc>
          <w:tcPr>
            <w:tcW w:w="0" w:type="auto"/>
            <w:shd w:val="clear" w:color="auto" w:fill="FFFFFF"/>
            <w:tcMar>
              <w:top w:w="0" w:type="dxa"/>
              <w:left w:w="105" w:type="dxa"/>
              <w:bottom w:w="0" w:type="dxa"/>
              <w:right w:w="0" w:type="dxa"/>
            </w:tcMar>
            <w:hideMark/>
          </w:tcPr>
          <w:p w:rsidR="007C7CE3" w:rsidRPr="007C7CE3" w:rsidRDefault="007C7CE3" w:rsidP="007C7CE3">
            <w:pPr>
              <w:bidi/>
              <w:spacing w:after="0" w:line="240" w:lineRule="auto"/>
              <w:jc w:val="right"/>
              <w:rPr>
                <w:rFonts w:ascii="Tahoma" w:eastAsia="Times New Roman" w:hAnsi="Tahoma" w:cs="Tahoma"/>
                <w:b/>
                <w:bCs/>
                <w:color w:val="CC3300"/>
                <w:sz w:val="15"/>
                <w:szCs w:val="15"/>
                <w:rtl/>
              </w:rPr>
            </w:pPr>
          </w:p>
        </w:tc>
      </w:tr>
      <w:tr w:rsidR="007C7CE3" w:rsidRPr="007C7CE3" w:rsidTr="007C7CE3">
        <w:trPr>
          <w:tblCellSpacing w:w="6" w:type="dxa"/>
        </w:trPr>
        <w:tc>
          <w:tcPr>
            <w:tcW w:w="0" w:type="auto"/>
            <w:shd w:val="clear" w:color="auto" w:fill="FFFFFF"/>
            <w:vAlign w:val="center"/>
            <w:hideMark/>
          </w:tcPr>
          <w:p w:rsidR="007C7CE3" w:rsidRPr="007C7CE3" w:rsidRDefault="00247398" w:rsidP="007C7CE3">
            <w:pPr>
              <w:spacing w:before="75"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pict>
                <v:rect id="_x0000_i1025" style="width:364.55pt;height:.75pt" o:hrpct="0" o:hralign="center" o:hrstd="t" o:hr="t" fillcolor="#a0a0a0" stroked="f"/>
              </w:pict>
            </w:r>
          </w:p>
        </w:tc>
      </w:tr>
      <w:tr w:rsidR="007C7CE3" w:rsidRPr="007C7CE3" w:rsidTr="007C7CE3">
        <w:trPr>
          <w:tblCellSpacing w:w="6" w:type="dxa"/>
        </w:trPr>
        <w:tc>
          <w:tcPr>
            <w:tcW w:w="0" w:type="auto"/>
            <w:shd w:val="clear" w:color="auto" w:fill="FFFFFF"/>
            <w:tcMar>
              <w:top w:w="0" w:type="dxa"/>
              <w:left w:w="30" w:type="dxa"/>
              <w:bottom w:w="0" w:type="dxa"/>
              <w:right w:w="30" w:type="dxa"/>
            </w:tcMar>
            <w:vAlign w:val="center"/>
            <w:hideMark/>
          </w:tcPr>
          <w:p w:rsidR="007C7CE3" w:rsidRPr="007C7CE3" w:rsidRDefault="007C7CE3" w:rsidP="007C7CE3">
            <w:pPr>
              <w:spacing w:before="75" w:after="0" w:line="240" w:lineRule="auto"/>
              <w:rPr>
                <w:rFonts w:ascii="Verdana" w:eastAsia="Times New Roman" w:hAnsi="Verdana" w:cs="Times New Roman"/>
                <w:color w:val="000000"/>
                <w:sz w:val="18"/>
                <w:szCs w:val="18"/>
              </w:rPr>
            </w:pPr>
          </w:p>
        </w:tc>
      </w:tr>
    </w:tbl>
    <w:p w:rsidR="007C7CE3" w:rsidRPr="007C7CE3" w:rsidRDefault="007C7CE3" w:rsidP="007C7CE3">
      <w:pPr>
        <w:spacing w:after="0" w:line="240" w:lineRule="auto"/>
        <w:rPr>
          <w:rFonts w:ascii="Times New Roman" w:eastAsia="Times New Roman" w:hAnsi="Times New Roman" w:cs="Times New Roman"/>
          <w:vanish/>
          <w:sz w:val="24"/>
          <w:szCs w:val="24"/>
        </w:rPr>
      </w:pPr>
    </w:p>
    <w:tbl>
      <w:tblPr>
        <w:tblW w:w="7395" w:type="dxa"/>
        <w:tblCellSpacing w:w="6" w:type="dxa"/>
        <w:shd w:val="clear" w:color="auto" w:fill="FFFFFF"/>
        <w:tblCellMar>
          <w:left w:w="0" w:type="dxa"/>
          <w:right w:w="0" w:type="dxa"/>
        </w:tblCellMar>
        <w:tblLook w:val="04A0" w:firstRow="1" w:lastRow="0" w:firstColumn="1" w:lastColumn="0" w:noHBand="0" w:noVBand="1"/>
      </w:tblPr>
      <w:tblGrid>
        <w:gridCol w:w="7395"/>
      </w:tblGrid>
      <w:tr w:rsidR="007C7CE3" w:rsidRPr="007C7CE3" w:rsidTr="007C7CE3">
        <w:trPr>
          <w:tblCellSpacing w:w="6" w:type="dxa"/>
        </w:trPr>
        <w:tc>
          <w:tcPr>
            <w:tcW w:w="0" w:type="auto"/>
            <w:shd w:val="clear" w:color="auto" w:fill="FFFFFF"/>
            <w:tcMar>
              <w:top w:w="0" w:type="dxa"/>
              <w:left w:w="75" w:type="dxa"/>
              <w:bottom w:w="0"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C7CE3" w:rsidRPr="007C7CE3">
              <w:trPr>
                <w:tblCellSpacing w:w="15" w:type="dxa"/>
              </w:trPr>
              <w:tc>
                <w:tcPr>
                  <w:tcW w:w="0" w:type="auto"/>
                  <w:vAlign w:val="center"/>
                  <w:hideMark/>
                </w:tcPr>
                <w:p w:rsidR="007C7CE3" w:rsidRPr="007C7CE3" w:rsidRDefault="007C7CE3" w:rsidP="007C7CE3">
                  <w:pPr>
                    <w:spacing w:after="0" w:line="240" w:lineRule="auto"/>
                    <w:rPr>
                      <w:rFonts w:ascii="Times New Roman" w:eastAsia="Times New Roman" w:hAnsi="Times New Roman" w:cs="Times New Roman"/>
                      <w:sz w:val="24"/>
                      <w:szCs w:val="24"/>
                    </w:rPr>
                  </w:pPr>
                </w:p>
              </w:tc>
            </w:tr>
          </w:tbl>
          <w:p w:rsidR="007C7CE3" w:rsidRPr="007C7CE3" w:rsidRDefault="007C7CE3" w:rsidP="007C7CE3">
            <w:pPr>
              <w:spacing w:after="0" w:line="240" w:lineRule="auto"/>
              <w:jc w:val="right"/>
              <w:rPr>
                <w:rFonts w:ascii="Verdana" w:eastAsia="Times New Roman" w:hAnsi="Verdana" w:cs="Times New Roman"/>
                <w:color w:val="000000"/>
                <w:sz w:val="18"/>
                <w:szCs w:val="18"/>
              </w:rPr>
            </w:pPr>
          </w:p>
          <w:p w:rsidR="007C7CE3" w:rsidRPr="007C7CE3" w:rsidRDefault="007C7CE3" w:rsidP="007C7CE3">
            <w:pPr>
              <w:bidi/>
              <w:spacing w:after="0" w:line="240" w:lineRule="auto"/>
              <w:jc w:val="center"/>
              <w:rPr>
                <w:rFonts w:ascii="Simplified Arabic" w:eastAsia="Times New Roman" w:hAnsi="Simplified Arabic" w:cs="Simplified Arabic"/>
                <w:color w:val="000000"/>
                <w:sz w:val="24"/>
                <w:szCs w:val="24"/>
              </w:rPr>
            </w:pPr>
            <w:r w:rsidRPr="007C7CE3">
              <w:rPr>
                <w:rFonts w:ascii="Simplified Arabic" w:eastAsia="Times New Roman" w:hAnsi="Simplified Arabic" w:cs="Simplified Arabic"/>
                <w:color w:val="000000"/>
                <w:sz w:val="24"/>
                <w:szCs w:val="24"/>
                <w:rtl/>
              </w:rPr>
              <w:t>استناداإلى أحكام المادة(35) من قانون المنظمات غير الحكومية رقم (12) لسنة 2010 أصدرنا التعليمات الآتية :- </w:t>
            </w:r>
            <w:r w:rsidRPr="007C7CE3">
              <w:rPr>
                <w:rFonts w:ascii="Simplified Arabic" w:eastAsia="Times New Roman" w:hAnsi="Simplified Arabic" w:cs="Simplified Arabic"/>
                <w:color w:val="000000"/>
                <w:sz w:val="24"/>
                <w:szCs w:val="24"/>
                <w:rtl/>
              </w:rPr>
              <w:br/>
            </w:r>
            <w:r w:rsidRPr="007C7CE3">
              <w:rPr>
                <w:rFonts w:ascii="Simplified Arabic" w:eastAsia="Times New Roman" w:hAnsi="Simplified Arabic" w:cs="Simplified Arabic"/>
                <w:color w:val="000000"/>
                <w:sz w:val="24"/>
                <w:szCs w:val="24"/>
                <w:rtl/>
              </w:rPr>
              <w:br/>
            </w:r>
            <w:r w:rsidRPr="007C7CE3">
              <w:rPr>
                <w:rFonts w:ascii="Simplified Arabic" w:eastAsia="Times New Roman" w:hAnsi="Simplified Arabic" w:cs="Simplified Arabic"/>
                <w:b/>
                <w:bCs/>
                <w:color w:val="000000"/>
                <w:sz w:val="24"/>
                <w:szCs w:val="24"/>
                <w:rtl/>
              </w:rPr>
              <w:t>التعديل الأول لتعليمات تسهيل تنفيذ</w:t>
            </w:r>
            <w:r w:rsidRPr="007C7CE3">
              <w:rPr>
                <w:rFonts w:ascii="Simplified Arabic" w:eastAsia="Times New Roman" w:hAnsi="Simplified Arabic" w:cs="Simplified Arabic"/>
                <w:color w:val="000000"/>
                <w:sz w:val="24"/>
                <w:szCs w:val="24"/>
                <w:rtl/>
              </w:rPr>
              <w:t> </w:t>
            </w:r>
            <w:r w:rsidRPr="007C7CE3">
              <w:rPr>
                <w:rFonts w:ascii="Simplified Arabic" w:eastAsia="Times New Roman" w:hAnsi="Simplified Arabic" w:cs="Simplified Arabic"/>
                <w:b/>
                <w:bCs/>
                <w:color w:val="000000"/>
                <w:sz w:val="24"/>
                <w:szCs w:val="24"/>
                <w:rtl/>
              </w:rPr>
              <w:t> </w:t>
            </w:r>
            <w:r w:rsidRPr="007C7CE3">
              <w:rPr>
                <w:rFonts w:ascii="Simplified Arabic" w:eastAsia="Times New Roman" w:hAnsi="Simplified Arabic" w:cs="Simplified Arabic"/>
                <w:b/>
                <w:bCs/>
                <w:color w:val="000000"/>
                <w:sz w:val="24"/>
                <w:szCs w:val="24"/>
                <w:rtl/>
              </w:rPr>
              <w:br/>
              <w:t>قانون المنظمات غير الحكومية رقم 12 لسنة 2010</w:t>
            </w:r>
            <w:r w:rsidRPr="007C7CE3">
              <w:rPr>
                <w:rFonts w:ascii="Simplified Arabic" w:eastAsia="Times New Roman" w:hAnsi="Simplified Arabic" w:cs="Simplified Arabic"/>
                <w:color w:val="000000"/>
                <w:sz w:val="24"/>
                <w:szCs w:val="24"/>
                <w:rtl/>
              </w:rPr>
              <w:t>  </w:t>
            </w:r>
            <w:r w:rsidRPr="007C7CE3">
              <w:rPr>
                <w:rFonts w:ascii="Simplified Arabic" w:eastAsia="Times New Roman" w:hAnsi="Simplified Arabic" w:cs="Simplified Arabic"/>
                <w:color w:val="000000"/>
                <w:sz w:val="24"/>
                <w:szCs w:val="24"/>
                <w:rtl/>
              </w:rPr>
              <w:br/>
            </w:r>
            <w:r w:rsidRPr="007C7CE3">
              <w:rPr>
                <w:rFonts w:ascii="Simplified Arabic" w:eastAsia="Times New Roman" w:hAnsi="Simplified Arabic" w:cs="Simplified Arabic"/>
                <w:color w:val="000000"/>
                <w:sz w:val="24"/>
                <w:szCs w:val="24"/>
                <w:rtl/>
              </w:rPr>
              <w:br/>
              <w:t>المادة-1- تلغى المادة (15) و يحل محلها الأتي :- </w:t>
            </w:r>
            <w:r w:rsidRPr="007C7CE3">
              <w:rPr>
                <w:rFonts w:ascii="Simplified Arabic" w:eastAsia="Times New Roman" w:hAnsi="Simplified Arabic" w:cs="Simplified Arabic"/>
                <w:color w:val="000000"/>
                <w:sz w:val="24"/>
                <w:szCs w:val="24"/>
                <w:rtl/>
              </w:rPr>
              <w:br/>
            </w:r>
            <w:r w:rsidRPr="007C7CE3">
              <w:rPr>
                <w:rFonts w:ascii="Simplified Arabic" w:eastAsia="Times New Roman" w:hAnsi="Simplified Arabic" w:cs="Simplified Arabic"/>
                <w:color w:val="000000"/>
                <w:sz w:val="24"/>
                <w:szCs w:val="24"/>
                <w:rtl/>
              </w:rPr>
              <w:br/>
              <w:t>المادة(15 ):- </w:t>
            </w:r>
            <w:r w:rsidRPr="007C7CE3">
              <w:rPr>
                <w:rFonts w:ascii="Simplified Arabic" w:eastAsia="Times New Roman" w:hAnsi="Simplified Arabic" w:cs="Simplified Arabic"/>
                <w:color w:val="000000"/>
                <w:sz w:val="24"/>
                <w:szCs w:val="24"/>
                <w:rtl/>
              </w:rPr>
              <w:br/>
              <w:t>( على جميع المنظمات غير الحكومية المسجلة في جمهورية العراق قبل نفاذ قانون المنظمات غير الحكومية رقم (12) لسنة 2010 باستثناء المؤسسة منها وفقاً لقوانين خاصة استكمال المستلزمات التي نص عليها هذا القانون و تعليمات تسهيل تنفيذ قانون المنظمات غير الحكومية خلال (90) يوماً من تاريخ نفاذ هذه التعليمات . </w:t>
            </w:r>
            <w:r w:rsidRPr="007C7CE3">
              <w:rPr>
                <w:rFonts w:ascii="Simplified Arabic" w:eastAsia="Times New Roman" w:hAnsi="Simplified Arabic" w:cs="Simplified Arabic"/>
                <w:color w:val="000000"/>
                <w:sz w:val="24"/>
                <w:szCs w:val="24"/>
                <w:rtl/>
              </w:rPr>
              <w:br/>
              <w:t>المادة- 2 - تضاف مادة جديدة إلى التعليمات يكون تسلسلها (16) و تقرأ على  </w:t>
            </w:r>
            <w:r w:rsidRPr="007C7CE3">
              <w:rPr>
                <w:rFonts w:ascii="Simplified Arabic" w:eastAsia="Times New Roman" w:hAnsi="Simplified Arabic" w:cs="Simplified Arabic"/>
                <w:color w:val="000000"/>
                <w:sz w:val="24"/>
                <w:szCs w:val="24"/>
                <w:rtl/>
              </w:rPr>
              <w:br/>
              <w:t>النحوالأتي :- </w:t>
            </w:r>
            <w:r w:rsidRPr="007C7CE3">
              <w:rPr>
                <w:rFonts w:ascii="Simplified Arabic" w:eastAsia="Times New Roman" w:hAnsi="Simplified Arabic" w:cs="Simplified Arabic"/>
                <w:color w:val="000000"/>
                <w:sz w:val="24"/>
                <w:szCs w:val="24"/>
                <w:rtl/>
              </w:rPr>
              <w:br/>
              <w:t>( أولاً:- تسجل الدائرة طلبات استكمال المستلزمات القانونية من تاريخ ورودها و في حالة رفضها عليها أن تعلن ذلك خلال سبعة أيام من تاريخ استلام الطلبات و بانتهاء المدة المذكورة يعد الطلب مقبولاً ). </w:t>
            </w:r>
            <w:r w:rsidRPr="007C7CE3">
              <w:rPr>
                <w:rFonts w:ascii="Simplified Arabic" w:eastAsia="Times New Roman" w:hAnsi="Simplified Arabic" w:cs="Simplified Arabic"/>
                <w:color w:val="000000"/>
                <w:sz w:val="24"/>
                <w:szCs w:val="24"/>
                <w:rtl/>
              </w:rPr>
              <w:br/>
              <w:t>(ثانياً:- تقوم الدائر بفتح سجل خاص للمنظمات الواردة ذكرها في المادة (15) و اعتبار المنظمة ( في مرحلة استكمال المستلزمات القانونية وفق أحكام قانون و تعليمات المنظمات غير الحكومية و على الدائرة طلب حل المنظمة و إلغاء إجراءات استكمال المستلزمات عند عدم تنفيذ المنظمة لالتزاماتها خلال (180) يوم من تاريخ إبلاغها بنتيجة الطلب المقدم ). </w:t>
            </w:r>
            <w:r w:rsidRPr="007C7CE3">
              <w:rPr>
                <w:rFonts w:ascii="Simplified Arabic" w:eastAsia="Times New Roman" w:hAnsi="Simplified Arabic" w:cs="Simplified Arabic"/>
                <w:color w:val="000000"/>
                <w:sz w:val="24"/>
                <w:szCs w:val="24"/>
                <w:rtl/>
              </w:rPr>
              <w:br/>
              <w:t>المادة- 3 - تضاف مادة جديدة إلى التعليمات يكون تسلسلها (17) و تقرأ على  </w:t>
            </w:r>
            <w:r w:rsidRPr="007C7CE3">
              <w:rPr>
                <w:rFonts w:ascii="Simplified Arabic" w:eastAsia="Times New Roman" w:hAnsi="Simplified Arabic" w:cs="Simplified Arabic"/>
                <w:color w:val="000000"/>
                <w:sz w:val="24"/>
                <w:szCs w:val="24"/>
                <w:rtl/>
              </w:rPr>
              <w:br/>
              <w:t>النحوالأتي :- </w:t>
            </w:r>
            <w:r w:rsidRPr="007C7CE3">
              <w:rPr>
                <w:rFonts w:ascii="Simplified Arabic" w:eastAsia="Times New Roman" w:hAnsi="Simplified Arabic" w:cs="Simplified Arabic"/>
                <w:color w:val="000000"/>
                <w:sz w:val="24"/>
                <w:szCs w:val="24"/>
                <w:rtl/>
              </w:rPr>
              <w:br/>
              <w:t>(أولا:- على دائرة المنظمات غير الحكومية الإعلان في موقعها الالكتروني و في ثلاث صحف يومية عن دعوتها جميع المنظمات غير المسجلة إلى ضرورة استكمال المستلزمات القانونية استناداً إلى ما نصت عليه المادة (15) من التعليمات ). </w:t>
            </w:r>
            <w:r w:rsidRPr="007C7CE3">
              <w:rPr>
                <w:rFonts w:ascii="Simplified Arabic" w:eastAsia="Times New Roman" w:hAnsi="Simplified Arabic" w:cs="Simplified Arabic"/>
                <w:color w:val="000000"/>
                <w:sz w:val="24"/>
                <w:szCs w:val="24"/>
                <w:rtl/>
              </w:rPr>
              <w:br/>
              <w:t xml:space="preserve">ثانياً:-تطلب الدائرة حل المنظمات التي لم تستكمل المستلزمات المطلوبة عند انتهاء </w:t>
            </w:r>
            <w:r w:rsidRPr="007C7CE3">
              <w:rPr>
                <w:rFonts w:ascii="Simplified Arabic" w:eastAsia="Times New Roman" w:hAnsi="Simplified Arabic" w:cs="Simplified Arabic"/>
                <w:color w:val="000000"/>
                <w:sz w:val="24"/>
                <w:szCs w:val="24"/>
                <w:rtl/>
              </w:rPr>
              <w:lastRenderedPageBreak/>
              <w:t>المدةالمنصوص عليها في المادة (15 )). </w:t>
            </w:r>
            <w:r w:rsidRPr="007C7CE3">
              <w:rPr>
                <w:rFonts w:ascii="Simplified Arabic" w:eastAsia="Times New Roman" w:hAnsi="Simplified Arabic" w:cs="Simplified Arabic"/>
                <w:color w:val="000000"/>
                <w:sz w:val="24"/>
                <w:szCs w:val="24"/>
                <w:rtl/>
              </w:rPr>
              <w:br/>
              <w:t>المادة- 4 - تضاف مادة جديدة إلى التعليمات يكون تسلسلها (18) و تقرأ على النحو الأتي :- </w:t>
            </w:r>
            <w:r w:rsidRPr="007C7CE3">
              <w:rPr>
                <w:rFonts w:ascii="Simplified Arabic" w:eastAsia="Times New Roman" w:hAnsi="Simplified Arabic" w:cs="Simplified Arabic"/>
                <w:color w:val="000000"/>
                <w:sz w:val="24"/>
                <w:szCs w:val="24"/>
                <w:rtl/>
              </w:rPr>
              <w:br/>
              <w:t>( تنشر هذه التعليمات في الجريدة الرسمية و تعد نافذة من تاريخ صدورها ). </w:t>
            </w:r>
            <w:r w:rsidRPr="007C7CE3">
              <w:rPr>
                <w:rFonts w:ascii="Simplified Arabic" w:eastAsia="Times New Roman" w:hAnsi="Simplified Arabic" w:cs="Simplified Arabic"/>
                <w:color w:val="000000"/>
                <w:sz w:val="24"/>
                <w:szCs w:val="24"/>
                <w:rtl/>
              </w:rPr>
              <w:br/>
            </w:r>
            <w:r w:rsidRPr="007C7CE3">
              <w:rPr>
                <w:rFonts w:ascii="Simplified Arabic" w:eastAsia="Times New Roman" w:hAnsi="Simplified Arabic" w:cs="Simplified Arabic"/>
                <w:color w:val="000000"/>
                <w:sz w:val="24"/>
                <w:szCs w:val="24"/>
                <w:rtl/>
              </w:rPr>
              <w:br/>
            </w:r>
            <w:r w:rsidRPr="007C7CE3">
              <w:rPr>
                <w:rFonts w:ascii="Simplified Arabic" w:eastAsia="Times New Roman" w:hAnsi="Simplified Arabic" w:cs="Simplified Arabic"/>
                <w:color w:val="000000"/>
                <w:sz w:val="24"/>
                <w:szCs w:val="24"/>
                <w:rtl/>
              </w:rPr>
              <w:br/>
              <w:t>علي محسن إسماعيل  </w:t>
            </w:r>
            <w:r w:rsidRPr="007C7CE3">
              <w:rPr>
                <w:rFonts w:ascii="Simplified Arabic" w:eastAsia="Times New Roman" w:hAnsi="Simplified Arabic" w:cs="Simplified Arabic"/>
                <w:color w:val="000000"/>
                <w:sz w:val="24"/>
                <w:szCs w:val="24"/>
                <w:rtl/>
              </w:rPr>
              <w:br/>
              <w:t>الأمين العام لمجلس الوزراء وكالة  </w:t>
            </w:r>
            <w:r w:rsidRPr="007C7CE3">
              <w:rPr>
                <w:rFonts w:ascii="Simplified Arabic" w:eastAsia="Times New Roman" w:hAnsi="Simplified Arabic" w:cs="Simplified Arabic"/>
                <w:color w:val="000000"/>
                <w:sz w:val="24"/>
                <w:szCs w:val="24"/>
                <w:rtl/>
              </w:rPr>
              <w:br/>
              <w:t>14/9/2011</w:t>
            </w:r>
          </w:p>
        </w:tc>
      </w:tr>
    </w:tbl>
    <w:p w:rsidR="008A1A94" w:rsidRDefault="008A1A94" w:rsidP="007C7CE3">
      <w:pPr>
        <w:jc w:val="right"/>
      </w:pPr>
    </w:p>
    <w:sectPr w:rsidR="008A1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Simplified Arabic">
    <w:panose1 w:val="02020603050405020304"/>
    <w:charset w:val="00"/>
    <w:family w:val="auto"/>
    <w:pitch w:val="variable"/>
    <w:sig w:usb0="00002003" w:usb1="00000000" w:usb2="00000000" w:usb3="00000000" w:csb0="0000004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E3"/>
    <w:rsid w:val="00247398"/>
    <w:rsid w:val="007C7CE3"/>
    <w:rsid w:val="008A1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3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3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3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3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32655">
      <w:bodyDiv w:val="1"/>
      <w:marLeft w:val="0"/>
      <w:marRight w:val="0"/>
      <w:marTop w:val="0"/>
      <w:marBottom w:val="0"/>
      <w:divBdr>
        <w:top w:val="none" w:sz="0" w:space="0" w:color="auto"/>
        <w:left w:val="none" w:sz="0" w:space="0" w:color="auto"/>
        <w:bottom w:val="none" w:sz="0" w:space="0" w:color="auto"/>
        <w:right w:val="none" w:sz="0" w:space="0" w:color="auto"/>
      </w:divBdr>
      <w:divsChild>
        <w:div w:id="1456170816">
          <w:marLeft w:val="75"/>
          <w:marRight w:val="0"/>
          <w:marTop w:val="0"/>
          <w:marBottom w:val="0"/>
          <w:divBdr>
            <w:top w:val="none" w:sz="0" w:space="0" w:color="auto"/>
            <w:left w:val="none" w:sz="0" w:space="0" w:color="auto"/>
            <w:bottom w:val="none" w:sz="0" w:space="0" w:color="auto"/>
            <w:right w:val="none" w:sz="0" w:space="0" w:color="auto"/>
          </w:divBdr>
        </w:div>
        <w:div w:id="113714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Macintosh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Hogr</dc:creator>
  <cp:keywords/>
  <dc:description/>
  <cp:lastModifiedBy>Dana Sofi</cp:lastModifiedBy>
  <cp:revision>2</cp:revision>
  <dcterms:created xsi:type="dcterms:W3CDTF">2016-01-13T22:36:00Z</dcterms:created>
  <dcterms:modified xsi:type="dcterms:W3CDTF">2016-01-13T22:36:00Z</dcterms:modified>
</cp:coreProperties>
</file>