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2A" w:rsidRPr="0079622A" w:rsidRDefault="0079622A" w:rsidP="0079622A">
      <w:pPr>
        <w:spacing w:before="150" w:after="150"/>
        <w:ind w:right="30"/>
        <w:jc w:val="right"/>
        <w:outlineLvl w:val="2"/>
        <w:rPr>
          <w:rFonts w:ascii="Tahoma" w:eastAsia="Times New Roman" w:hAnsi="Tahoma" w:cs="Times New Roman"/>
          <w:b/>
          <w:bCs/>
          <w:color w:val="000000"/>
          <w:sz w:val="21"/>
          <w:szCs w:val="21"/>
        </w:rPr>
      </w:pPr>
      <w:r w:rsidRPr="0079622A">
        <w:rPr>
          <w:rFonts w:ascii="Tahoma" w:eastAsia="Times New Roman" w:hAnsi="Tahoma" w:cs="Times New Roman"/>
          <w:b/>
          <w:bCs/>
          <w:color w:val="000000"/>
          <w:sz w:val="21"/>
          <w:szCs w:val="21"/>
        </w:rPr>
        <w:t xml:space="preserve">Regulations No. </w:t>
      </w:r>
      <w:proofErr w:type="gramStart"/>
      <w:r w:rsidRPr="0079622A">
        <w:rPr>
          <w:rFonts w:ascii="Tahoma" w:eastAsia="Times New Roman" w:hAnsi="Tahoma" w:cs="Times New Roman"/>
          <w:b/>
          <w:bCs/>
          <w:color w:val="000000"/>
          <w:sz w:val="21"/>
          <w:szCs w:val="21"/>
        </w:rPr>
        <w:t>( )</w:t>
      </w:r>
      <w:proofErr w:type="gramEnd"/>
      <w:r w:rsidRPr="0079622A">
        <w:rPr>
          <w:rFonts w:ascii="Tahoma" w:eastAsia="Times New Roman" w:hAnsi="Tahoma" w:cs="Times New Roman"/>
          <w:b/>
          <w:bCs/>
          <w:color w:val="000000"/>
          <w:sz w:val="21"/>
          <w:szCs w:val="21"/>
        </w:rPr>
        <w:t xml:space="preserve"> 2011-10-12 First amendment on facilitating the implementation Of NGO's law no.12 of 2010</w:t>
      </w:r>
    </w:p>
    <w:tbl>
      <w:tblPr>
        <w:tblW w:w="7395" w:type="dxa"/>
        <w:tblCellSpacing w:w="10" w:type="dxa"/>
        <w:tblCellMar>
          <w:left w:w="0" w:type="dxa"/>
          <w:right w:w="0" w:type="dxa"/>
        </w:tblCellMar>
        <w:tblLook w:val="04A0" w:firstRow="1" w:lastRow="0" w:firstColumn="1" w:lastColumn="0" w:noHBand="0" w:noVBand="1"/>
      </w:tblPr>
      <w:tblGrid>
        <w:gridCol w:w="7395"/>
      </w:tblGrid>
      <w:tr w:rsidR="0079622A" w:rsidRPr="0079622A" w:rsidTr="0079622A">
        <w:trPr>
          <w:tblCellSpacing w:w="10" w:type="dxa"/>
        </w:trPr>
        <w:tc>
          <w:tcPr>
            <w:tcW w:w="0" w:type="auto"/>
            <w:tcMar>
              <w:top w:w="0" w:type="dxa"/>
              <w:left w:w="105" w:type="dxa"/>
              <w:bottom w:w="0" w:type="dxa"/>
              <w:right w:w="0" w:type="dxa"/>
            </w:tcMar>
            <w:hideMark/>
          </w:tcPr>
          <w:p w:rsidR="0079622A" w:rsidRPr="0079622A" w:rsidRDefault="0079622A" w:rsidP="0079622A">
            <w:pPr>
              <w:bidi/>
              <w:jc w:val="right"/>
              <w:rPr>
                <w:rFonts w:ascii="Tahoma" w:eastAsia="Times New Roman" w:hAnsi="Tahoma" w:cs="Times New Roman"/>
                <w:b/>
                <w:bCs/>
                <w:color w:val="CC3300"/>
                <w:sz w:val="15"/>
                <w:szCs w:val="15"/>
              </w:rPr>
            </w:pPr>
            <w:r w:rsidRPr="0079622A">
              <w:rPr>
                <w:rFonts w:ascii="Tahoma" w:eastAsia="Times New Roman" w:hAnsi="Tahoma" w:cs="Times New Roman"/>
                <w:b/>
                <w:bCs/>
                <w:color w:val="CC3300"/>
                <w:sz w:val="15"/>
                <w:szCs w:val="15"/>
                <w:rtl/>
              </w:rPr>
              <w:t>   </w:t>
            </w:r>
          </w:p>
        </w:tc>
      </w:tr>
      <w:tr w:rsidR="0079622A" w:rsidRPr="0079622A" w:rsidTr="0079622A">
        <w:trPr>
          <w:tblCellSpacing w:w="10" w:type="dxa"/>
        </w:trPr>
        <w:tc>
          <w:tcPr>
            <w:tcW w:w="0" w:type="auto"/>
            <w:tcMar>
              <w:top w:w="0" w:type="dxa"/>
              <w:left w:w="105" w:type="dxa"/>
              <w:bottom w:w="0" w:type="dxa"/>
              <w:right w:w="0" w:type="dxa"/>
            </w:tcMar>
            <w:hideMark/>
          </w:tcPr>
          <w:p w:rsidR="0079622A" w:rsidRPr="0079622A" w:rsidRDefault="0079622A" w:rsidP="0079622A">
            <w:pPr>
              <w:bidi/>
              <w:jc w:val="right"/>
              <w:rPr>
                <w:rFonts w:ascii="Tahoma" w:eastAsia="Times New Roman" w:hAnsi="Tahoma" w:cs="Times New Roman"/>
                <w:b/>
                <w:bCs/>
                <w:color w:val="CC3300"/>
                <w:sz w:val="15"/>
                <w:szCs w:val="15"/>
              </w:rPr>
            </w:pPr>
          </w:p>
        </w:tc>
      </w:tr>
      <w:tr w:rsidR="0079622A" w:rsidRPr="0079622A" w:rsidTr="0079622A">
        <w:trPr>
          <w:tblCellSpacing w:w="10" w:type="dxa"/>
        </w:trPr>
        <w:tc>
          <w:tcPr>
            <w:tcW w:w="0" w:type="auto"/>
            <w:vAlign w:val="center"/>
            <w:hideMark/>
          </w:tcPr>
          <w:p w:rsidR="0079622A" w:rsidRPr="0079622A" w:rsidRDefault="0079622A" w:rsidP="0079622A">
            <w:pPr>
              <w:spacing w:before="75"/>
              <w:rPr>
                <w:rFonts w:ascii="Times" w:eastAsia="Times New Roman" w:hAnsi="Times" w:cs="Times New Roman"/>
                <w:sz w:val="20"/>
                <w:szCs w:val="20"/>
              </w:rPr>
            </w:pPr>
            <w:r w:rsidRPr="0079622A">
              <w:rPr>
                <w:rFonts w:ascii="Times" w:eastAsia="Times New Roman" w:hAnsi="Times" w:cs="Times New Roman"/>
                <w:sz w:val="20"/>
                <w:szCs w:val="20"/>
              </w:rPr>
              <w:pict>
                <v:rect id="_x0000_i1025" style="width:364.55pt;height:.75pt" o:hrpct="0" o:hralign="center" o:hrstd="t" o:hr="t" fillcolor="#aaa" stroked="f"/>
              </w:pict>
            </w:r>
          </w:p>
        </w:tc>
      </w:tr>
      <w:tr w:rsidR="0079622A" w:rsidRPr="0079622A" w:rsidTr="0079622A">
        <w:trPr>
          <w:tblCellSpacing w:w="10" w:type="dxa"/>
        </w:trPr>
        <w:tc>
          <w:tcPr>
            <w:tcW w:w="0" w:type="auto"/>
            <w:tcMar>
              <w:top w:w="0" w:type="dxa"/>
              <w:left w:w="30" w:type="dxa"/>
              <w:bottom w:w="0" w:type="dxa"/>
              <w:right w:w="30" w:type="dxa"/>
            </w:tcMar>
            <w:vAlign w:val="center"/>
            <w:hideMark/>
          </w:tcPr>
          <w:p w:rsidR="0079622A" w:rsidRPr="0079622A" w:rsidRDefault="0079622A" w:rsidP="0079622A">
            <w:pPr>
              <w:spacing w:before="75"/>
              <w:jc w:val="right"/>
              <w:rPr>
                <w:rFonts w:ascii="Tahoma" w:eastAsia="Times New Roman" w:hAnsi="Tahoma" w:cs="Times New Roman"/>
                <w:color w:val="333333"/>
                <w:sz w:val="18"/>
                <w:szCs w:val="18"/>
              </w:rPr>
            </w:pPr>
          </w:p>
        </w:tc>
      </w:tr>
    </w:tbl>
    <w:p w:rsidR="0079622A" w:rsidRPr="0079622A" w:rsidRDefault="0079622A" w:rsidP="0079622A">
      <w:pPr>
        <w:rPr>
          <w:rFonts w:ascii="Times" w:eastAsia="Times New Roman" w:hAnsi="Times" w:cs="Times New Roman"/>
          <w:vanish/>
          <w:sz w:val="20"/>
          <w:szCs w:val="20"/>
        </w:rPr>
      </w:pPr>
    </w:p>
    <w:tbl>
      <w:tblPr>
        <w:tblW w:w="7395" w:type="dxa"/>
        <w:tblCellSpacing w:w="10" w:type="dxa"/>
        <w:tblCellMar>
          <w:left w:w="0" w:type="dxa"/>
          <w:right w:w="0" w:type="dxa"/>
        </w:tblCellMar>
        <w:tblLook w:val="04A0" w:firstRow="1" w:lastRow="0" w:firstColumn="1" w:lastColumn="0" w:noHBand="0" w:noVBand="1"/>
      </w:tblPr>
      <w:tblGrid>
        <w:gridCol w:w="7395"/>
      </w:tblGrid>
      <w:tr w:rsidR="0079622A" w:rsidRPr="0079622A" w:rsidTr="0079622A">
        <w:trPr>
          <w:tblCellSpacing w:w="10" w:type="dxa"/>
        </w:trPr>
        <w:tc>
          <w:tcPr>
            <w:tcW w:w="0" w:type="auto"/>
            <w:shd w:val="clear" w:color="auto" w:fill="FFFFFF"/>
            <w:tcMar>
              <w:top w:w="0" w:type="dxa"/>
              <w:left w:w="75" w:type="dxa"/>
              <w:bottom w:w="0"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622A" w:rsidRPr="0079622A">
              <w:trPr>
                <w:tblCellSpacing w:w="15" w:type="dxa"/>
              </w:trPr>
              <w:tc>
                <w:tcPr>
                  <w:tcW w:w="0" w:type="auto"/>
                  <w:vAlign w:val="center"/>
                  <w:hideMark/>
                </w:tcPr>
                <w:p w:rsidR="0079622A" w:rsidRPr="0079622A" w:rsidRDefault="0079622A" w:rsidP="0079622A">
                  <w:pPr>
                    <w:rPr>
                      <w:rFonts w:ascii="Times" w:eastAsia="Times New Roman" w:hAnsi="Times" w:cs="Times New Roman"/>
                      <w:sz w:val="20"/>
                      <w:szCs w:val="20"/>
                    </w:rPr>
                  </w:pPr>
                </w:p>
              </w:tc>
            </w:tr>
          </w:tbl>
          <w:p w:rsidR="0079622A" w:rsidRPr="0079622A" w:rsidRDefault="0079622A" w:rsidP="0079622A">
            <w:pPr>
              <w:bidi/>
              <w:jc w:val="center"/>
              <w:rPr>
                <w:rFonts w:ascii="Simplified Arabic" w:hAnsi="Simplified Arabic" w:cs="Simplified Arabic"/>
                <w:color w:val="000000"/>
              </w:rPr>
            </w:pPr>
            <w:bookmarkStart w:id="0" w:name="_GoBack"/>
            <w:bookmarkEnd w:id="0"/>
            <w:r w:rsidRPr="0079622A">
              <w:rPr>
                <w:rFonts w:ascii="Simplified Arabic" w:hAnsi="Simplified Arabic" w:cs="Simplified Arabic"/>
                <w:color w:val="000000"/>
                <w:rtl/>
              </w:rPr>
              <w:t> </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Article -1</w:t>
            </w:r>
            <w:r w:rsidRPr="0079622A">
              <w:rPr>
                <w:rFonts w:ascii="Simplified Arabic" w:hAnsi="Simplified Arabic" w:cs="Simplified Arabic"/>
                <w:color w:val="000000"/>
                <w:sz w:val="26"/>
                <w:szCs w:val="26"/>
                <w:rtl/>
              </w:rPr>
              <w:t>- article 15 shall be revoked and replaced with the following article:</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color w:val="000000"/>
                <w:rtl/>
              </w:rPr>
              <w:t> </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Article (15)</w:t>
            </w:r>
            <w:r w:rsidRPr="0079622A">
              <w:rPr>
                <w:rFonts w:ascii="Simplified Arabic" w:hAnsi="Simplified Arabic" w:cs="Simplified Arabic"/>
                <w:color w:val="000000"/>
                <w:sz w:val="26"/>
                <w:szCs w:val="26"/>
                <w:rtl/>
              </w:rPr>
              <w:t>:</w:t>
            </w:r>
          </w:p>
          <w:p w:rsidR="0079622A" w:rsidRPr="0079622A" w:rsidRDefault="0079622A" w:rsidP="0079622A">
            <w:pPr>
              <w:rPr>
                <w:rFonts w:ascii="Simplified Arabic" w:hAnsi="Simplified Arabic" w:cs="Simplified Arabic"/>
                <w:color w:val="000000"/>
                <w:rtl/>
              </w:rPr>
            </w:pPr>
            <w:r w:rsidRPr="0079622A">
              <w:rPr>
                <w:rFonts w:ascii="Simplified Arabic" w:hAnsi="Simplified Arabic" w:cs="Simplified Arabic"/>
                <w:color w:val="000000"/>
                <w:sz w:val="26"/>
                <w:szCs w:val="26"/>
              </w:rPr>
              <w:t>All NGO's that have been registered in the Republic of Iraq before the NGOs' law no.12</w:t>
            </w:r>
            <w:proofErr w:type="gramStart"/>
            <w:r w:rsidRPr="0079622A">
              <w:rPr>
                <w:rFonts w:ascii="Simplified Arabic" w:hAnsi="Simplified Arabic" w:cs="Simplified Arabic"/>
                <w:color w:val="000000"/>
                <w:sz w:val="26"/>
                <w:szCs w:val="26"/>
              </w:rPr>
              <w:t>,2010</w:t>
            </w:r>
            <w:proofErr w:type="gramEnd"/>
            <w:r w:rsidRPr="0079622A">
              <w:rPr>
                <w:rFonts w:ascii="Simplified Arabic" w:hAnsi="Simplified Arabic" w:cs="Simplified Arabic"/>
                <w:color w:val="000000"/>
                <w:sz w:val="26"/>
                <w:szCs w:val="26"/>
              </w:rPr>
              <w:t xml:space="preserve"> became valid, except those registered in accordance to special laws, are obligated to complete the requirements stated in this law, and the regulations that are issued to facilitate its implementation, during a ninety – day period starting from validity date of these regulations.</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rPr>
              <w:t> </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b/>
                <w:bCs/>
                <w:color w:val="000000"/>
                <w:sz w:val="26"/>
                <w:szCs w:val="26"/>
              </w:rPr>
              <w:t>Article -2</w:t>
            </w:r>
            <w:r w:rsidRPr="0079622A">
              <w:rPr>
                <w:rFonts w:ascii="Simplified Arabic" w:hAnsi="Simplified Arabic" w:cs="Simplified Arabic"/>
                <w:color w:val="000000"/>
                <w:sz w:val="26"/>
                <w:szCs w:val="26"/>
              </w:rPr>
              <w:t>- a new article is to be added as no. 16 and is phrased as following:</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 (</w:t>
            </w:r>
            <w:proofErr w:type="gramStart"/>
            <w:r w:rsidRPr="0079622A">
              <w:rPr>
                <w:rFonts w:ascii="Simplified Arabic" w:hAnsi="Simplified Arabic" w:cs="Simplified Arabic"/>
                <w:b/>
                <w:bCs/>
                <w:color w:val="000000"/>
                <w:sz w:val="26"/>
                <w:szCs w:val="26"/>
              </w:rPr>
              <w:t>first</w:t>
            </w:r>
            <w:proofErr w:type="gramEnd"/>
            <w:r w:rsidRPr="0079622A">
              <w:rPr>
                <w:rFonts w:ascii="Simplified Arabic" w:hAnsi="Simplified Arabic" w:cs="Simplified Arabic"/>
                <w:color w:val="000000"/>
                <w:sz w:val="26"/>
                <w:szCs w:val="26"/>
              </w:rPr>
              <w:t>:- the NGOS' directorate shall write down the legal requirements from the date of providing an inward reference number of organization's application and it is asked declare its rejection during a period no longer than 7 days from the date of receiving the applications, otherwise, it would be considered approved.)</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rPr>
              <w:t> </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 (</w:t>
            </w:r>
            <w:r w:rsidRPr="0079622A">
              <w:rPr>
                <w:rFonts w:ascii="Simplified Arabic" w:hAnsi="Simplified Arabic" w:cs="Simplified Arabic"/>
                <w:b/>
                <w:bCs/>
                <w:color w:val="000000"/>
                <w:sz w:val="26"/>
                <w:szCs w:val="26"/>
              </w:rPr>
              <w:t>Second</w:t>
            </w:r>
            <w:r w:rsidRPr="0079622A">
              <w:rPr>
                <w:rFonts w:ascii="Simplified Arabic" w:hAnsi="Simplified Arabic" w:cs="Simplified Arabic"/>
                <w:color w:val="000000"/>
                <w:sz w:val="26"/>
                <w:szCs w:val="26"/>
              </w:rPr>
              <w:t>: - a new registration book is opened to list down the organizations</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Mentioned in article 15, and consider them (in process) for completing legal</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 Requirements in accordance to provisions of NGOs law and regulations.</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 xml:space="preserve"> The Directorate requires abolishing any organization and stopping its process of registration if the latter would not fulfill its obligations </w:t>
            </w:r>
            <w:r w:rsidRPr="0079622A">
              <w:rPr>
                <w:rFonts w:ascii="Simplified Arabic" w:hAnsi="Simplified Arabic" w:cs="Simplified Arabic"/>
                <w:color w:val="000000"/>
                <w:sz w:val="26"/>
                <w:szCs w:val="26"/>
              </w:rPr>
              <w:lastRenderedPageBreak/>
              <w:t>within 180 days from date of informing it of the result of its submitted application.)</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rPr>
              <w:t> </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b/>
                <w:bCs/>
                <w:color w:val="000000"/>
                <w:sz w:val="26"/>
                <w:szCs w:val="26"/>
              </w:rPr>
              <w:t>Article-3</w:t>
            </w:r>
            <w:r w:rsidRPr="0079622A">
              <w:rPr>
                <w:rFonts w:ascii="Simplified Arabic" w:hAnsi="Simplified Arabic" w:cs="Simplified Arabic"/>
                <w:color w:val="000000"/>
                <w:sz w:val="26"/>
                <w:szCs w:val="26"/>
              </w:rPr>
              <w:t>- a new article is to be added under no. 17 and is phrased as following:</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rPr>
              <w:t> </w:t>
            </w:r>
          </w:p>
          <w:p w:rsidR="0079622A" w:rsidRPr="0079622A" w:rsidRDefault="0079622A" w:rsidP="0079622A">
            <w:pPr>
              <w:rPr>
                <w:rFonts w:ascii="Simplified Arabic" w:hAnsi="Simplified Arabic" w:cs="Simplified Arabic"/>
                <w:color w:val="000000"/>
              </w:rPr>
            </w:pPr>
            <w:r w:rsidRPr="0079622A">
              <w:rPr>
                <w:rFonts w:ascii="Simplified Arabic" w:hAnsi="Simplified Arabic" w:cs="Simplified Arabic"/>
                <w:color w:val="000000"/>
                <w:sz w:val="26"/>
                <w:szCs w:val="26"/>
              </w:rPr>
              <w:t> (</w:t>
            </w:r>
            <w:r w:rsidRPr="0079622A">
              <w:rPr>
                <w:rFonts w:ascii="Simplified Arabic" w:hAnsi="Simplified Arabic" w:cs="Simplified Arabic"/>
                <w:b/>
                <w:bCs/>
                <w:color w:val="000000"/>
                <w:sz w:val="26"/>
                <w:szCs w:val="26"/>
              </w:rPr>
              <w:t>First</w:t>
            </w:r>
            <w:r w:rsidRPr="0079622A">
              <w:rPr>
                <w:rFonts w:ascii="Simplified Arabic" w:hAnsi="Simplified Arabic" w:cs="Simplified Arabic"/>
                <w:color w:val="000000"/>
                <w:sz w:val="26"/>
                <w:szCs w:val="26"/>
              </w:rPr>
              <w:t>: - the NGOS Directorate shall advertise through its website and in three local daily newspapers, its call to all unregistered organization to complete their legal requirements in accordance with the regulations of article 15.)</w:t>
            </w:r>
          </w:p>
          <w:p w:rsidR="0079622A" w:rsidRPr="0079622A" w:rsidRDefault="0079622A" w:rsidP="0079622A">
            <w:pPr>
              <w:bidi/>
              <w:jc w:val="right"/>
              <w:rPr>
                <w:rFonts w:ascii="Simplified Arabic" w:hAnsi="Simplified Arabic" w:cs="Simplified Arabic"/>
                <w:color w:val="000000"/>
              </w:rPr>
            </w:pPr>
            <w:r w:rsidRPr="0079622A">
              <w:rPr>
                <w:rFonts w:ascii="Simplified Arabic" w:hAnsi="Simplified Arabic" w:cs="Simplified Arabic"/>
                <w:color w:val="000000"/>
                <w:rtl/>
              </w:rPr>
              <w:t> </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color w:val="000000"/>
                <w:sz w:val="32"/>
                <w:szCs w:val="32"/>
                <w:rtl/>
              </w:rPr>
              <w:t>(Second: - </w:t>
            </w:r>
            <w:r w:rsidRPr="0079622A">
              <w:rPr>
                <w:rFonts w:ascii="Simplified Arabic" w:hAnsi="Simplified Arabic" w:cs="Simplified Arabic"/>
                <w:color w:val="000000"/>
                <w:sz w:val="26"/>
                <w:szCs w:val="26"/>
                <w:rtl/>
              </w:rPr>
              <w:t>NGOs</w:t>
            </w:r>
            <w:r w:rsidRPr="0079622A">
              <w:rPr>
                <w:rFonts w:ascii="Simplified Arabic" w:hAnsi="Simplified Arabic" w:cs="Simplified Arabic"/>
                <w:color w:val="000000"/>
                <w:rtl/>
              </w:rPr>
              <w:t> </w:t>
            </w:r>
            <w:r w:rsidRPr="0079622A">
              <w:rPr>
                <w:rFonts w:ascii="Simplified Arabic" w:hAnsi="Simplified Arabic" w:cs="Simplified Arabic"/>
                <w:color w:val="000000"/>
                <w:sz w:val="26"/>
                <w:szCs w:val="26"/>
                <w:rtl/>
              </w:rPr>
              <w:t>Directorate demands abolishing any organization that keeps short of completing its necessary requirements by the due date mentioned in article 15.)</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Article -4</w:t>
            </w:r>
            <w:r w:rsidRPr="0079622A">
              <w:rPr>
                <w:rFonts w:ascii="Simplified Arabic" w:hAnsi="Simplified Arabic" w:cs="Simplified Arabic"/>
                <w:color w:val="000000"/>
                <w:sz w:val="26"/>
                <w:szCs w:val="26"/>
                <w:rtl/>
              </w:rPr>
              <w:t>- a new article is to be added under no.18 and phrased as following:</w:t>
            </w:r>
          </w:p>
          <w:p w:rsidR="0079622A" w:rsidRPr="0079622A" w:rsidRDefault="0079622A" w:rsidP="0079622A">
            <w:pPr>
              <w:bidi/>
              <w:jc w:val="right"/>
              <w:rPr>
                <w:rFonts w:ascii="Simplified Arabic" w:hAnsi="Simplified Arabic" w:cs="Simplified Arabic"/>
                <w:color w:val="000000"/>
                <w:rtl/>
              </w:rPr>
            </w:pPr>
            <w:r w:rsidRPr="0079622A">
              <w:rPr>
                <w:rFonts w:ascii="Simplified Arabic" w:hAnsi="Simplified Arabic" w:cs="Simplified Arabic"/>
                <w:color w:val="000000"/>
                <w:sz w:val="26"/>
                <w:szCs w:val="26"/>
                <w:rtl/>
              </w:rPr>
              <w:t>(These regulations are force from the date of their publication in the Iraqi gazette.)</w:t>
            </w:r>
          </w:p>
          <w:p w:rsidR="0079622A" w:rsidRPr="0079622A" w:rsidRDefault="0079622A" w:rsidP="0079622A">
            <w:pPr>
              <w:bidi/>
              <w:jc w:val="center"/>
              <w:rPr>
                <w:rFonts w:ascii="Simplified Arabic" w:hAnsi="Simplified Arabic" w:cs="Simplified Arabic"/>
                <w:color w:val="000000"/>
                <w:rtl/>
              </w:rPr>
            </w:pPr>
            <w:r w:rsidRPr="0079622A">
              <w:rPr>
                <w:rFonts w:ascii="Simplified Arabic" w:hAnsi="Simplified Arabic" w:cs="Simplified Arabic"/>
                <w:color w:val="000000"/>
                <w:rtl/>
              </w:rPr>
              <w:t> </w:t>
            </w:r>
          </w:p>
          <w:p w:rsidR="0079622A" w:rsidRPr="0079622A" w:rsidRDefault="0079622A" w:rsidP="0079622A">
            <w:pPr>
              <w:bidi/>
              <w:jc w:val="center"/>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Signed</w:t>
            </w:r>
          </w:p>
          <w:p w:rsidR="0079622A" w:rsidRPr="0079622A" w:rsidRDefault="0079622A" w:rsidP="0079622A">
            <w:pPr>
              <w:bidi/>
              <w:jc w:val="center"/>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Ali Muhsin Ismail</w:t>
            </w:r>
          </w:p>
          <w:p w:rsidR="0079622A" w:rsidRPr="0079622A" w:rsidRDefault="0079622A" w:rsidP="0079622A">
            <w:pPr>
              <w:bidi/>
              <w:jc w:val="center"/>
              <w:rPr>
                <w:rFonts w:ascii="Simplified Arabic" w:hAnsi="Simplified Arabic" w:cs="Simplified Arabic"/>
                <w:color w:val="000000"/>
                <w:rtl/>
              </w:rPr>
            </w:pPr>
            <w:r w:rsidRPr="0079622A">
              <w:rPr>
                <w:rFonts w:ascii="Simplified Arabic" w:hAnsi="Simplified Arabic" w:cs="Simplified Arabic"/>
                <w:b/>
                <w:bCs/>
                <w:color w:val="000000"/>
                <w:sz w:val="26"/>
                <w:szCs w:val="26"/>
                <w:rtl/>
              </w:rPr>
              <w:t>Acting Secretary General Council of Ministers</w:t>
            </w:r>
          </w:p>
          <w:p w:rsidR="0079622A" w:rsidRPr="0079622A" w:rsidRDefault="0079622A" w:rsidP="0079622A">
            <w:pPr>
              <w:bidi/>
              <w:jc w:val="center"/>
              <w:rPr>
                <w:rFonts w:ascii="Simplified Arabic" w:hAnsi="Simplified Arabic" w:cs="Simplified Arabic"/>
                <w:color w:val="000000"/>
              </w:rPr>
            </w:pPr>
            <w:r w:rsidRPr="0079622A">
              <w:rPr>
                <w:rFonts w:ascii="Simplified Arabic" w:hAnsi="Simplified Arabic" w:cs="Simplified Arabic"/>
                <w:b/>
                <w:bCs/>
                <w:color w:val="000000"/>
                <w:sz w:val="26"/>
                <w:szCs w:val="26"/>
                <w:rtl/>
              </w:rPr>
              <w:t>14/9/2011</w:t>
            </w:r>
          </w:p>
        </w:tc>
      </w:tr>
      <w:tr w:rsidR="0079622A" w:rsidRPr="0079622A" w:rsidTr="0079622A">
        <w:trPr>
          <w:tblCellSpacing w:w="10" w:type="dxa"/>
        </w:trPr>
        <w:tc>
          <w:tcPr>
            <w:tcW w:w="0" w:type="auto"/>
            <w:shd w:val="clear" w:color="auto" w:fill="FFFFFF"/>
            <w:vAlign w:val="center"/>
            <w:hideMark/>
          </w:tcPr>
          <w:p w:rsidR="0079622A" w:rsidRPr="0079622A" w:rsidRDefault="0079622A" w:rsidP="0079622A">
            <w:pPr>
              <w:rPr>
                <w:rFonts w:ascii="Verdana" w:eastAsia="Times New Roman" w:hAnsi="Verdana" w:cs="Times New Roman"/>
                <w:color w:val="000000"/>
                <w:sz w:val="18"/>
                <w:szCs w:val="18"/>
              </w:rPr>
            </w:pPr>
          </w:p>
        </w:tc>
      </w:tr>
    </w:tbl>
    <w:p w:rsidR="00B96323" w:rsidRDefault="00B96323"/>
    <w:sectPr w:rsidR="00B96323" w:rsidSect="005175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plified Arabic">
    <w:panose1 w:val="02020603050405020304"/>
    <w:charset w:val="00"/>
    <w:family w:val="auto"/>
    <w:pitch w:val="variable"/>
    <w:sig w:usb0="00002003" w:usb1="00000000" w:usb2="00000000" w:usb3="00000000" w:csb0="0000004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2A"/>
    <w:rsid w:val="00517552"/>
    <w:rsid w:val="0079622A"/>
    <w:rsid w:val="00B96323"/>
    <w:rsid w:val="00D8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58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62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622A"/>
    <w:rPr>
      <w:rFonts w:ascii="Times" w:hAnsi="Times"/>
      <w:b/>
      <w:bCs/>
      <w:sz w:val="27"/>
      <w:szCs w:val="27"/>
    </w:rPr>
  </w:style>
  <w:style w:type="character" w:customStyle="1" w:styleId="apple-converted-space">
    <w:name w:val="apple-converted-space"/>
    <w:basedOn w:val="DefaultParagraphFont"/>
    <w:rsid w:val="0079622A"/>
  </w:style>
  <w:style w:type="character" w:styleId="Hyperlink">
    <w:name w:val="Hyperlink"/>
    <w:basedOn w:val="DefaultParagraphFont"/>
    <w:uiPriority w:val="99"/>
    <w:semiHidden/>
    <w:unhideWhenUsed/>
    <w:rsid w:val="0079622A"/>
    <w:rPr>
      <w:color w:val="0000FF"/>
      <w:u w:val="single"/>
    </w:rPr>
  </w:style>
  <w:style w:type="paragraph" w:styleId="NormalWeb">
    <w:name w:val="Normal (Web)"/>
    <w:basedOn w:val="Normal"/>
    <w:uiPriority w:val="99"/>
    <w:unhideWhenUsed/>
    <w:rsid w:val="007962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62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62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622A"/>
    <w:rPr>
      <w:rFonts w:ascii="Times" w:hAnsi="Times"/>
      <w:b/>
      <w:bCs/>
      <w:sz w:val="27"/>
      <w:szCs w:val="27"/>
    </w:rPr>
  </w:style>
  <w:style w:type="character" w:customStyle="1" w:styleId="apple-converted-space">
    <w:name w:val="apple-converted-space"/>
    <w:basedOn w:val="DefaultParagraphFont"/>
    <w:rsid w:val="0079622A"/>
  </w:style>
  <w:style w:type="character" w:styleId="Hyperlink">
    <w:name w:val="Hyperlink"/>
    <w:basedOn w:val="DefaultParagraphFont"/>
    <w:uiPriority w:val="99"/>
    <w:semiHidden/>
    <w:unhideWhenUsed/>
    <w:rsid w:val="0079622A"/>
    <w:rPr>
      <w:color w:val="0000FF"/>
      <w:u w:val="single"/>
    </w:rPr>
  </w:style>
  <w:style w:type="paragraph" w:styleId="NormalWeb">
    <w:name w:val="Normal (Web)"/>
    <w:basedOn w:val="Normal"/>
    <w:uiPriority w:val="99"/>
    <w:unhideWhenUsed/>
    <w:rsid w:val="007962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6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5732">
      <w:bodyDiv w:val="1"/>
      <w:marLeft w:val="0"/>
      <w:marRight w:val="0"/>
      <w:marTop w:val="0"/>
      <w:marBottom w:val="0"/>
      <w:divBdr>
        <w:top w:val="none" w:sz="0" w:space="0" w:color="auto"/>
        <w:left w:val="none" w:sz="0" w:space="0" w:color="auto"/>
        <w:bottom w:val="none" w:sz="0" w:space="0" w:color="auto"/>
        <w:right w:val="none" w:sz="0" w:space="0" w:color="auto"/>
      </w:divBdr>
      <w:divsChild>
        <w:div w:id="15119935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1870</Characters>
  <Application>Microsoft Macintosh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Sofi</dc:creator>
  <cp:keywords/>
  <dc:description/>
  <cp:lastModifiedBy>Dana Sofi</cp:lastModifiedBy>
  <cp:revision>1</cp:revision>
  <dcterms:created xsi:type="dcterms:W3CDTF">2016-01-13T21:47:00Z</dcterms:created>
  <dcterms:modified xsi:type="dcterms:W3CDTF">2016-01-13T22:34:00Z</dcterms:modified>
</cp:coreProperties>
</file>