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B" w:rsidRPr="00FB32BB" w:rsidRDefault="00FB32BB" w:rsidP="00FB32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B32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</w:rPr>
        <w:t xml:space="preserve">تعليمات الإنفاق ودعم الجمعيات </w:t>
      </w:r>
      <w:proofErr w:type="gramStart"/>
      <w:r w:rsidRPr="00FB32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</w:rPr>
        <w:t>من</w:t>
      </w:r>
      <w:proofErr w:type="gramEnd"/>
    </w:p>
    <w:p w:rsidR="00FB32BB" w:rsidRPr="00FB32BB" w:rsidRDefault="00FB32BB" w:rsidP="00FB32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FB32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</w:rPr>
        <w:t>أموال</w:t>
      </w:r>
      <w:proofErr w:type="gramEnd"/>
      <w:r w:rsidRPr="00FB32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</w:rPr>
        <w:t xml:space="preserve"> صندوق دعم الجمعيات صادرة بموجب المادة (22/ج</w:t>
      </w:r>
      <w:r w:rsidRPr="00FB32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)</w:t>
      </w:r>
    </w:p>
    <w:p w:rsidR="00FB32BB" w:rsidRPr="00FB32BB" w:rsidRDefault="00FB32BB" w:rsidP="00FB32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FB32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</w:rPr>
        <w:t>من</w:t>
      </w:r>
      <w:proofErr w:type="gramEnd"/>
      <w:r w:rsidRPr="00FB32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</w:rPr>
        <w:t xml:space="preserve"> قانون الجمعيات وتعديلاته رقم (51) لسنة 2008</w:t>
      </w:r>
    </w:p>
    <w:p w:rsidR="00FB32BB" w:rsidRPr="00FB32BB" w:rsidRDefault="00FB32BB" w:rsidP="00FB3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2BB" w:rsidRPr="00FB32BB" w:rsidRDefault="00FB32BB" w:rsidP="00FB3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2BB" w:rsidRPr="00FB32BB" w:rsidRDefault="00FB32BB" w:rsidP="00FB3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32BB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proofErr w:type="gramEnd"/>
      <w:r w:rsidRPr="00FB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32B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عملاً بأحكام المادة (22/ج) من قانون الجمعيات رقم (51) لسنة 2008، قرر مجلس الوزراء في جلسته المنعقدة بتاريخ 11/1/2011، بناءً على توصية لجنة الخدمات الاجتماعية الصادرة عن جلستها المنعقدة بتاريخ 2/1/2011 الموافقة على تعليمات الإنفاق ودعم الجمعيات من أموال صندوق دعم الجمعيات بشكلها التالي</w:t>
      </w:r>
      <w:r w:rsidRPr="00FB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:-</w:t>
      </w: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513"/>
        <w:gridCol w:w="7607"/>
      </w:tblGrid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 [1]</w:t>
            </w: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802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تسمى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هذه التعليمات "تعليمات الإنفاق ودعم الجمعيات من أموال صندوق دعم الجمعيات" ويعمل بها اعتباراً من تاريخ إصدارها، ويتم نشرها في الجريدة الرسمية.</w:t>
            </w:r>
          </w:p>
        </w:tc>
      </w:tr>
    </w:tbl>
    <w:p w:rsidR="00FB32BB" w:rsidRPr="00FB32BB" w:rsidRDefault="00FB32BB" w:rsidP="00FB32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513"/>
        <w:gridCol w:w="7607"/>
      </w:tblGrid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 [2]</w:t>
            </w: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802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يكون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للكلمات والعبارات الواردة في هذه التعليمات المعاني المخصصة لها في قانون الجمعيات نافذ المفعول إلا إذا دلت القرينة على غير ذلك.</w:t>
            </w:r>
          </w:p>
        </w:tc>
      </w:tr>
    </w:tbl>
    <w:p w:rsidR="00FB32BB" w:rsidRPr="00FB32BB" w:rsidRDefault="00FB32BB" w:rsidP="00FB32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514"/>
        <w:gridCol w:w="7606"/>
      </w:tblGrid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 [3]</w:t>
            </w: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802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تطبق هذه التعليمات على الموارد المالية لصندوق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دعم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الجمعيات المحددة بموجب أحكام قانون الجمعيات نافذ المفعول.</w:t>
            </w:r>
          </w:p>
        </w:tc>
      </w:tr>
    </w:tbl>
    <w:p w:rsidR="00FB32BB" w:rsidRPr="00FB32BB" w:rsidRDefault="00FB32BB" w:rsidP="00FB32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513"/>
        <w:gridCol w:w="519"/>
        <w:gridCol w:w="7090"/>
      </w:tblGrid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 [4]</w:t>
            </w: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8025" w:type="dxa"/>
            <w:gridSpan w:val="2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تكون أوجه دعم الجمعيات من أموال صندوق دعم الجمعيات في المجالات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التالية :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البرامج والمشاريع التي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تدخل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ضمن أهداف الجمعيات.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البرامج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التي تسمح للجمعيات بالنمو والتطور وتعزيز قدرتها على الأداء على المدى الطويل لتصبح أكثر فاعلية وبناء القدرات المؤسسية والفنية للجمعيات.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المشاريع الهادفة لزيادة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وتحسين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مستوى العمل التطوعي.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البرامج والمشاريع التي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تساهم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في تحسين نوعية الحياة للمجتمع المحلي.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البرامج والمشاريع التي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تساهم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في تنفيذ برامج وطنية.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المشاركة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في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حل الإشكاليات التي </w:t>
            </w:r>
            <w:proofErr w:type="spell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يواجهها</w:t>
            </w:r>
            <w:proofErr w:type="spell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العمل التطوعي.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دعم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المبادرات الاجتماعية.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أي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برامج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ومشاريع أخرى يوافق عليها المجلس.</w:t>
            </w:r>
          </w:p>
        </w:tc>
      </w:tr>
    </w:tbl>
    <w:p w:rsidR="00FB32BB" w:rsidRPr="00FB32BB" w:rsidRDefault="00FB32BB" w:rsidP="00FB32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513"/>
        <w:gridCol w:w="519"/>
        <w:gridCol w:w="7090"/>
      </w:tblGrid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 [5]</w:t>
            </w: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8025" w:type="dxa"/>
            <w:gridSpan w:val="2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تكون أوجه الإنفاق من أموال صندوق دعم الجمعيات في المجالات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التالية :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الدعم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المالي المباشر للجمعيات.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دعم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البرامج والمشاريع وفقاً لما هو وارد من أحكام في المادة (4) من هذه التعليمات.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تغطية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نفقات حملات الإرشاد والتوعية الموجهة إلى الجمعيات.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مكافآت أعضاء اللجان التي تشكل لغايات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دعم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البرامج والمشاريع.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النفقات الرأسمالية والتشغيلية لصندوق دعم الجمعيات.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آية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نفقات أخرى يوافق عليها المجلس.</w:t>
            </w:r>
          </w:p>
        </w:tc>
      </w:tr>
    </w:tbl>
    <w:p w:rsidR="00FB32BB" w:rsidRPr="00FB32BB" w:rsidRDefault="00FB32BB" w:rsidP="00FB32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513"/>
        <w:gridCol w:w="521"/>
        <w:gridCol w:w="7087"/>
      </w:tblGrid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 [6]</w:t>
            </w: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تقدم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طلبات الدعم المالي المباشر على النموذج المعتمد لهذه الغاية إلى المديرية الميدانية أو إلى أمين سجل الجمعيات مباشرة معززة بالوثائق اللازمة.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يحدد المجلس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أسس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ومعايير توفير الدعم المالي المباشر للجمعيات.</w:t>
            </w:r>
          </w:p>
        </w:tc>
      </w:tr>
    </w:tbl>
    <w:p w:rsidR="00FB32BB" w:rsidRPr="00FB32BB" w:rsidRDefault="00FB32BB" w:rsidP="00FB32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513"/>
        <w:gridCol w:w="521"/>
        <w:gridCol w:w="7088"/>
      </w:tblGrid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 [7]</w:t>
            </w: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8025" w:type="dxa"/>
            <w:gridSpan w:val="2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يحدد المجلس بين الحين والآخر الإجراءات التي من شأنها :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تحديد المعايير العامة لتأهيل الجمعيات للدعم بموجب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أحكام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المادة (4) من هذه التعليمات.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تحديد أسس وشروط دعم البرامج والمشاريع بموجب أحكام المادة (5) من هذه التعليمات على أن تشمل تحديد آلية طرح العطاءات والإعلان عنها ومعايير التقييم والإحالة واحترام السرية.</w:t>
            </w:r>
          </w:p>
        </w:tc>
      </w:tr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ج.</w:t>
            </w:r>
          </w:p>
        </w:tc>
        <w:tc>
          <w:tcPr>
            <w:tcW w:w="748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تنفيذ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أحكام هذه التعليمات.</w:t>
            </w:r>
          </w:p>
        </w:tc>
      </w:tr>
    </w:tbl>
    <w:p w:rsidR="00FB32BB" w:rsidRPr="00FB32BB" w:rsidRDefault="00FB32BB" w:rsidP="00FB32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513"/>
        <w:gridCol w:w="7606"/>
      </w:tblGrid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 [8]</w:t>
            </w: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802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يراعى صندوق </w:t>
            </w:r>
            <w:proofErr w:type="gramStart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دعم</w:t>
            </w:r>
            <w:proofErr w:type="gramEnd"/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الجمعيات الشفافية والنزاهة وعدم التمييز في منح الدعم للجمعيات وفق أحكام </w:t>
            </w: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هذه التعليمات.</w:t>
            </w:r>
          </w:p>
        </w:tc>
      </w:tr>
    </w:tbl>
    <w:p w:rsidR="00FB32BB" w:rsidRPr="00FB32BB" w:rsidRDefault="00FB32BB" w:rsidP="00FB32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513"/>
        <w:gridCol w:w="7606"/>
      </w:tblGrid>
      <w:tr w:rsidR="00FB32BB" w:rsidRPr="00FB32BB" w:rsidTr="00FB32BB">
        <w:trPr>
          <w:tblCellSpacing w:w="0" w:type="dxa"/>
        </w:trPr>
        <w:tc>
          <w:tcPr>
            <w:tcW w:w="129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المادة [9]</w:t>
            </w:r>
          </w:p>
        </w:tc>
        <w:tc>
          <w:tcPr>
            <w:tcW w:w="540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8025" w:type="dxa"/>
            <w:hideMark/>
          </w:tcPr>
          <w:p w:rsidR="00FB32BB" w:rsidRPr="00FB32BB" w:rsidRDefault="00FB32BB" w:rsidP="00FB32BB">
            <w:pPr>
              <w:bidi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للمجلس تفويض صلاحية الإنفاق من أموال صندوق دعم الجمعيات.</w:t>
            </w:r>
          </w:p>
        </w:tc>
      </w:tr>
    </w:tbl>
    <w:p w:rsidR="00D14143" w:rsidRDefault="00D14143">
      <w:bookmarkStart w:id="0" w:name="_GoBack"/>
      <w:bookmarkEnd w:id="0"/>
    </w:p>
    <w:sectPr w:rsidR="00D1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BB"/>
    <w:rsid w:val="00D14143"/>
    <w:rsid w:val="00F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Jweihan</dc:creator>
  <cp:lastModifiedBy>Dima Jweihan</cp:lastModifiedBy>
  <cp:revision>1</cp:revision>
  <dcterms:created xsi:type="dcterms:W3CDTF">2013-08-22T12:04:00Z</dcterms:created>
  <dcterms:modified xsi:type="dcterms:W3CDTF">2013-08-22T12:05:00Z</dcterms:modified>
</cp:coreProperties>
</file>