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Pr>
      </w:pPr>
      <w:proofErr w:type="gramStart"/>
      <w:r w:rsidRPr="00963215">
        <w:rPr>
          <w:rFonts w:ascii="Simplified Arabic" w:eastAsia="Times New Roman" w:hAnsi="Simplified Arabic" w:cs="Simplified Arabic"/>
          <w:b/>
          <w:bCs/>
          <w:color w:val="252525"/>
          <w:sz w:val="24"/>
          <w:szCs w:val="24"/>
          <w:rtl/>
        </w:rPr>
        <w:t>مرسوم</w:t>
      </w:r>
      <w:proofErr w:type="gramEnd"/>
      <w:r w:rsidRPr="00963215">
        <w:rPr>
          <w:rFonts w:ascii="Simplified Arabic" w:eastAsia="Times New Roman" w:hAnsi="Simplified Arabic" w:cs="Simplified Arabic"/>
          <w:b/>
          <w:bCs/>
          <w:color w:val="252525"/>
          <w:sz w:val="24"/>
          <w:szCs w:val="24"/>
          <w:rtl/>
        </w:rPr>
        <w:t xml:space="preserve"> رقم (   ) لسنة 2012</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proofErr w:type="gramStart"/>
      <w:r w:rsidRPr="00963215">
        <w:rPr>
          <w:rFonts w:ascii="Simplified Arabic" w:eastAsia="Times New Roman" w:hAnsi="Simplified Arabic" w:cs="Simplified Arabic"/>
          <w:b/>
          <w:bCs/>
          <w:color w:val="252525"/>
          <w:sz w:val="24"/>
          <w:szCs w:val="24"/>
          <w:rtl/>
        </w:rPr>
        <w:t>بشأن</w:t>
      </w:r>
      <w:proofErr w:type="gramEnd"/>
      <w:r w:rsidRPr="00963215">
        <w:rPr>
          <w:rFonts w:ascii="Simplified Arabic" w:eastAsia="Times New Roman" w:hAnsi="Simplified Arabic" w:cs="Simplified Arabic"/>
          <w:b/>
          <w:bCs/>
          <w:color w:val="252525"/>
          <w:sz w:val="24"/>
          <w:szCs w:val="24"/>
          <w:rtl/>
        </w:rPr>
        <w:t xml:space="preserve"> إنشاء هيئة شؤون المنظمات الأهلية</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r w:rsidRPr="00963215">
        <w:rPr>
          <w:rFonts w:ascii="Simplified Arabic" w:eastAsia="Times New Roman" w:hAnsi="Simplified Arabic" w:cs="Simplified Arabic"/>
          <w:b/>
          <w:bCs/>
          <w:color w:val="252525"/>
          <w:sz w:val="24"/>
          <w:szCs w:val="24"/>
          <w:rtl/>
        </w:rPr>
        <w:t>رئيس دولة فلسطين</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r w:rsidRPr="00963215">
        <w:rPr>
          <w:rFonts w:ascii="Simplified Arabic" w:eastAsia="Times New Roman" w:hAnsi="Simplified Arabic" w:cs="Simplified Arabic"/>
          <w:b/>
          <w:bCs/>
          <w:color w:val="252525"/>
          <w:sz w:val="24"/>
          <w:szCs w:val="24"/>
          <w:rtl/>
        </w:rPr>
        <w:t>رئيس اللجنة التنفيذية لمنظمة التحرير الفلسطينية</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r w:rsidRPr="00963215">
        <w:rPr>
          <w:rFonts w:ascii="Simplified Arabic" w:eastAsia="Times New Roman" w:hAnsi="Simplified Arabic" w:cs="Simplified Arabic"/>
          <w:b/>
          <w:bCs/>
          <w:color w:val="252525"/>
          <w:sz w:val="24"/>
          <w:szCs w:val="24"/>
          <w:rtl/>
        </w:rPr>
        <w:t>رئيس السل</w:t>
      </w:r>
      <w:bookmarkStart w:id="0" w:name="_GoBack"/>
      <w:bookmarkEnd w:id="0"/>
      <w:r w:rsidRPr="00963215">
        <w:rPr>
          <w:rFonts w:ascii="Simplified Arabic" w:eastAsia="Times New Roman" w:hAnsi="Simplified Arabic" w:cs="Simplified Arabic"/>
          <w:b/>
          <w:bCs/>
          <w:color w:val="252525"/>
          <w:sz w:val="24"/>
          <w:szCs w:val="24"/>
          <w:rtl/>
        </w:rPr>
        <w:t>طة الوطنية الفلسطينية</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r w:rsidRPr="00963215">
        <w:rPr>
          <w:rFonts w:ascii="Simplified Arabic" w:eastAsia="Times New Roman" w:hAnsi="Simplified Arabic" w:cs="Simplified Arabic"/>
          <w:b/>
          <w:bCs/>
          <w:color w:val="252525"/>
          <w:sz w:val="24"/>
          <w:szCs w:val="24"/>
          <w:rtl/>
        </w:rPr>
        <w:t xml:space="preserve">استنادا لأحكام القانون الأساسي المعدل لسنة 2003 م </w:t>
      </w:r>
      <w:proofErr w:type="gramStart"/>
      <w:r w:rsidRPr="00963215">
        <w:rPr>
          <w:rFonts w:ascii="Simplified Arabic" w:eastAsia="Times New Roman" w:hAnsi="Simplified Arabic" w:cs="Simplified Arabic"/>
          <w:b/>
          <w:bCs/>
          <w:color w:val="252525"/>
          <w:sz w:val="24"/>
          <w:szCs w:val="24"/>
          <w:rtl/>
        </w:rPr>
        <w:t>وتعديلاتهن</w:t>
      </w:r>
      <w:proofErr w:type="gramEnd"/>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proofErr w:type="gramStart"/>
      <w:r w:rsidRPr="00963215">
        <w:rPr>
          <w:rFonts w:ascii="Simplified Arabic" w:eastAsia="Times New Roman" w:hAnsi="Simplified Arabic" w:cs="Simplified Arabic"/>
          <w:b/>
          <w:bCs/>
          <w:color w:val="252525"/>
          <w:sz w:val="24"/>
          <w:szCs w:val="24"/>
          <w:rtl/>
        </w:rPr>
        <w:t>وبناء</w:t>
      </w:r>
      <w:proofErr w:type="gramEnd"/>
      <w:r w:rsidRPr="00963215">
        <w:rPr>
          <w:rFonts w:ascii="Simplified Arabic" w:eastAsia="Times New Roman" w:hAnsi="Simplified Arabic" w:cs="Simplified Arabic"/>
          <w:b/>
          <w:bCs/>
          <w:color w:val="252525"/>
          <w:sz w:val="24"/>
          <w:szCs w:val="24"/>
          <w:rtl/>
        </w:rPr>
        <w:t xml:space="preserve"> على الصلاحيات المخولة لنا،</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proofErr w:type="gramStart"/>
      <w:r w:rsidRPr="00963215">
        <w:rPr>
          <w:rFonts w:ascii="Simplified Arabic" w:eastAsia="Times New Roman" w:hAnsi="Simplified Arabic" w:cs="Simplified Arabic"/>
          <w:b/>
          <w:bCs/>
          <w:color w:val="252525"/>
          <w:sz w:val="24"/>
          <w:szCs w:val="24"/>
          <w:rtl/>
        </w:rPr>
        <w:t>وتحقيقا</w:t>
      </w:r>
      <w:proofErr w:type="gramEnd"/>
      <w:r w:rsidRPr="00963215">
        <w:rPr>
          <w:rFonts w:ascii="Simplified Arabic" w:eastAsia="Times New Roman" w:hAnsi="Simplified Arabic" w:cs="Simplified Arabic"/>
          <w:b/>
          <w:bCs/>
          <w:color w:val="252525"/>
          <w:sz w:val="24"/>
          <w:szCs w:val="24"/>
          <w:rtl/>
        </w:rPr>
        <w:t xml:space="preserve"> للمصلحة العامة،</w:t>
      </w:r>
    </w:p>
    <w:p w:rsidR="00963215" w:rsidRPr="00963215" w:rsidRDefault="00963215" w:rsidP="00963215">
      <w:pPr>
        <w:shd w:val="clear" w:color="auto" w:fill="FFFFFF"/>
        <w:bidi/>
        <w:spacing w:after="0" w:line="240" w:lineRule="auto"/>
        <w:jc w:val="both"/>
        <w:rPr>
          <w:rFonts w:ascii="Simplified Arabic" w:eastAsia="Times New Roman" w:hAnsi="Simplified Arabic" w:cs="Simplified Arabic"/>
          <w:b/>
          <w:bCs/>
          <w:color w:val="252525"/>
          <w:sz w:val="24"/>
          <w:szCs w:val="24"/>
          <w:rtl/>
        </w:rPr>
      </w:pPr>
      <w:proofErr w:type="gramStart"/>
      <w:r w:rsidRPr="00963215">
        <w:rPr>
          <w:rFonts w:ascii="Simplified Arabic" w:eastAsia="Times New Roman" w:hAnsi="Simplified Arabic" w:cs="Simplified Arabic"/>
          <w:b/>
          <w:bCs/>
          <w:color w:val="252525"/>
          <w:sz w:val="24"/>
          <w:szCs w:val="24"/>
          <w:rtl/>
        </w:rPr>
        <w:t>رسمنا</w:t>
      </w:r>
      <w:proofErr w:type="gramEnd"/>
      <w:r w:rsidRPr="00963215">
        <w:rPr>
          <w:rFonts w:ascii="Simplified Arabic" w:eastAsia="Times New Roman" w:hAnsi="Simplified Arabic" w:cs="Simplified Arabic"/>
          <w:b/>
          <w:bCs/>
          <w:color w:val="252525"/>
          <w:sz w:val="24"/>
          <w:szCs w:val="24"/>
          <w:rtl/>
        </w:rPr>
        <w:t xml:space="preserve"> بما هو آت:</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(1)</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proofErr w:type="gramStart"/>
      <w:r w:rsidRPr="00963215">
        <w:rPr>
          <w:rFonts w:ascii="Simplified Arabic" w:eastAsia="Times New Roman" w:hAnsi="Simplified Arabic" w:cs="Simplified Arabic"/>
          <w:color w:val="252525"/>
          <w:sz w:val="24"/>
          <w:szCs w:val="24"/>
          <w:rtl/>
        </w:rPr>
        <w:t>يكون</w:t>
      </w:r>
      <w:proofErr w:type="gramEnd"/>
      <w:r w:rsidRPr="00963215">
        <w:rPr>
          <w:rFonts w:ascii="Simplified Arabic" w:eastAsia="Times New Roman" w:hAnsi="Simplified Arabic" w:cs="Simplified Arabic"/>
          <w:color w:val="252525"/>
          <w:sz w:val="24"/>
          <w:szCs w:val="24"/>
          <w:rtl/>
        </w:rPr>
        <w:t xml:space="preserve"> للكلمات والعبارات المعاني المخصصة لها أدناه ما لم تدل القرينة على خلاف ذلك:</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السلطة: السلطة الوطنية الفلسطينية.</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الرئيس: رئيس السلطة الوطنية الفلسطينية.</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الهيئة: هيئة شؤون المنظمات الأهلية.</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رئيس الهيئة: رئيس هيئة شؤون المنظمات الأهلية.</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(2)</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تنشأ بموجب أحكام هذا المرسوم هيئة تسمى 'هيئة شؤون المنظمات الأهلية' تتمتع بالاستقلال المالي والإداري تتبع رئيس السلطة الوطنية الفلسطينية يكون مقرها الرئيس الدائم في مدينة القدس، ولها أن تتخذ مقرات مؤقتة في مدينتي رام الله وغزة، وإنشاء فروع ومكاتب لها في أية محافظة أخرى.</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(3)</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proofErr w:type="gramStart"/>
      <w:r w:rsidRPr="00963215">
        <w:rPr>
          <w:rFonts w:ascii="Simplified Arabic" w:eastAsia="Times New Roman" w:hAnsi="Simplified Arabic" w:cs="Simplified Arabic"/>
          <w:color w:val="252525"/>
          <w:sz w:val="24"/>
          <w:szCs w:val="24"/>
          <w:rtl/>
        </w:rPr>
        <w:t>تهدف</w:t>
      </w:r>
      <w:proofErr w:type="gramEnd"/>
      <w:r w:rsidRPr="00963215">
        <w:rPr>
          <w:rFonts w:ascii="Simplified Arabic" w:eastAsia="Times New Roman" w:hAnsi="Simplified Arabic" w:cs="Simplified Arabic"/>
          <w:color w:val="252525"/>
          <w:sz w:val="24"/>
          <w:szCs w:val="24"/>
          <w:rtl/>
        </w:rPr>
        <w:t xml:space="preserve"> الهيئة إلى تنسيق وتنظيم العمل بين كافة المنظمات الأهلية الفلسطينية والأجنبية والجهات الحكومية المختلفة انطلاقا من مبدأ التكامل والمشاركة والشفافية في التخطيط والتنفيذ لإنجاز الخطة الوطنية الشاملة لخدمة المجتمع الفلسطيني.</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(4)</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تقوم الهيئة في سبيل </w:t>
      </w:r>
      <w:proofErr w:type="gramStart"/>
      <w:r w:rsidRPr="00963215">
        <w:rPr>
          <w:rFonts w:ascii="Simplified Arabic" w:eastAsia="Times New Roman" w:hAnsi="Simplified Arabic" w:cs="Simplified Arabic"/>
          <w:color w:val="252525"/>
          <w:sz w:val="24"/>
          <w:szCs w:val="24"/>
          <w:rtl/>
        </w:rPr>
        <w:t>تحقيق</w:t>
      </w:r>
      <w:proofErr w:type="gramEnd"/>
      <w:r w:rsidRPr="00963215">
        <w:rPr>
          <w:rFonts w:ascii="Simplified Arabic" w:eastAsia="Times New Roman" w:hAnsi="Simplified Arabic" w:cs="Simplified Arabic"/>
          <w:color w:val="252525"/>
          <w:sz w:val="24"/>
          <w:szCs w:val="24"/>
          <w:rtl/>
        </w:rPr>
        <w:t xml:space="preserve"> أهدافها بالآتي:</w:t>
      </w:r>
    </w:p>
    <w:p w:rsidR="00963215" w:rsidRPr="00963215" w:rsidRDefault="00963215" w:rsidP="00963215">
      <w:pPr>
        <w:shd w:val="clear" w:color="auto" w:fill="FFFFFF"/>
        <w:bidi/>
        <w:spacing w:before="120" w:after="120" w:line="240" w:lineRule="auto"/>
        <w:ind w:left="720" w:hanging="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1.    المساهمة في وضع وتحديد الأولويات الوطنية في القطاعات المختلفة بالمشاركة بين المنظمات الأهلية وكافة الجهات الحكومية لصياغة توجهات وطنية مشتركة خصوصا في مجالات التنمية.</w:t>
      </w:r>
    </w:p>
    <w:p w:rsidR="00963215" w:rsidRPr="00963215" w:rsidRDefault="00963215" w:rsidP="00963215">
      <w:pPr>
        <w:shd w:val="clear" w:color="auto" w:fill="FFFFFF"/>
        <w:bidi/>
        <w:spacing w:before="120" w:after="120" w:line="240" w:lineRule="auto"/>
        <w:ind w:left="720" w:hanging="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2.    </w:t>
      </w:r>
      <w:proofErr w:type="gramStart"/>
      <w:r w:rsidRPr="00963215">
        <w:rPr>
          <w:rFonts w:ascii="Simplified Arabic" w:eastAsia="Times New Roman" w:hAnsi="Simplified Arabic" w:cs="Simplified Arabic"/>
          <w:color w:val="252525"/>
          <w:sz w:val="24"/>
          <w:szCs w:val="24"/>
          <w:rtl/>
        </w:rPr>
        <w:t>ضمان</w:t>
      </w:r>
      <w:proofErr w:type="gramEnd"/>
      <w:r w:rsidRPr="00963215">
        <w:rPr>
          <w:rFonts w:ascii="Simplified Arabic" w:eastAsia="Times New Roman" w:hAnsi="Simplified Arabic" w:cs="Simplified Arabic"/>
          <w:color w:val="252525"/>
          <w:sz w:val="24"/>
          <w:szCs w:val="24"/>
          <w:rtl/>
        </w:rPr>
        <w:t xml:space="preserve"> حرية واستقلالية العمل الأهلي ليتكامل مع الحكومي في خدمة قطاعات العمل المختلفة.</w:t>
      </w:r>
    </w:p>
    <w:p w:rsidR="00963215" w:rsidRPr="00963215" w:rsidRDefault="00963215" w:rsidP="00963215">
      <w:pPr>
        <w:shd w:val="clear" w:color="auto" w:fill="FFFFFF"/>
        <w:bidi/>
        <w:spacing w:before="120" w:after="120" w:line="240" w:lineRule="auto"/>
        <w:ind w:left="720" w:hanging="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3.    العمل على تشجيع العمل التطوعي وتطوير مفاهيمه </w:t>
      </w:r>
      <w:proofErr w:type="gramStart"/>
      <w:r w:rsidRPr="00963215">
        <w:rPr>
          <w:rFonts w:ascii="Simplified Arabic" w:eastAsia="Times New Roman" w:hAnsi="Simplified Arabic" w:cs="Simplified Arabic"/>
          <w:color w:val="252525"/>
          <w:sz w:val="24"/>
          <w:szCs w:val="24"/>
          <w:rtl/>
        </w:rPr>
        <w:t>وأسسه</w:t>
      </w:r>
      <w:proofErr w:type="gramEnd"/>
      <w:r w:rsidRPr="00963215">
        <w:rPr>
          <w:rFonts w:ascii="Simplified Arabic" w:eastAsia="Times New Roman" w:hAnsi="Simplified Arabic" w:cs="Simplified Arabic"/>
          <w:color w:val="252525"/>
          <w:sz w:val="24"/>
          <w:szCs w:val="24"/>
          <w:rtl/>
        </w:rPr>
        <w:t>.</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lastRenderedPageBreak/>
        <w:t>مادة (5)</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تخضع الهيئة لأنظمة الرقابة المالية والإدارية السارية في السلطة الوطنية.</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(6)</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يكون للهيئة رئيس </w:t>
      </w:r>
      <w:proofErr w:type="gramStart"/>
      <w:r w:rsidRPr="00963215">
        <w:rPr>
          <w:rFonts w:ascii="Simplified Arabic" w:eastAsia="Times New Roman" w:hAnsi="Simplified Arabic" w:cs="Simplified Arabic"/>
          <w:color w:val="252525"/>
          <w:sz w:val="24"/>
          <w:szCs w:val="24"/>
          <w:rtl/>
        </w:rPr>
        <w:t>يدير</w:t>
      </w:r>
      <w:proofErr w:type="gramEnd"/>
      <w:r w:rsidRPr="00963215">
        <w:rPr>
          <w:rFonts w:ascii="Simplified Arabic" w:eastAsia="Times New Roman" w:hAnsi="Simplified Arabic" w:cs="Simplified Arabic"/>
          <w:color w:val="252525"/>
          <w:sz w:val="24"/>
          <w:szCs w:val="24"/>
          <w:rtl/>
        </w:rPr>
        <w:t xml:space="preserve"> كافة شؤونها، يصدر بتعيينه وتحديد درجته قرار من الرئيس.</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(7)</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proofErr w:type="gramStart"/>
      <w:r w:rsidRPr="00963215">
        <w:rPr>
          <w:rFonts w:ascii="Simplified Arabic" w:eastAsia="Times New Roman" w:hAnsi="Simplified Arabic" w:cs="Simplified Arabic"/>
          <w:color w:val="252525"/>
          <w:sz w:val="24"/>
          <w:szCs w:val="24"/>
          <w:rtl/>
        </w:rPr>
        <w:t>يعد</w:t>
      </w:r>
      <w:proofErr w:type="gramEnd"/>
      <w:r w:rsidRPr="00963215">
        <w:rPr>
          <w:rFonts w:ascii="Simplified Arabic" w:eastAsia="Times New Roman" w:hAnsi="Simplified Arabic" w:cs="Simplified Arabic"/>
          <w:color w:val="252525"/>
          <w:sz w:val="24"/>
          <w:szCs w:val="24"/>
          <w:rtl/>
        </w:rPr>
        <w:t xml:space="preserve"> رئيس الهيئة نظاما لعمل الهيئة يصادق عليه من قبل رئيس السلطة، ويرفع تقارير سنوية لرئيس السلطة.</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(8)</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تؤول جميع الصلاحيات والاختصاصات المنوطة بمكتب المؤسسات الوطنية إلى الهيئة، وينقل جميع موظفي مكتب المؤسسات الوطنية إلى الهيئة كل حسب درجته الوظيفية والمالية، وتؤول للهيئة كافة الموجودات والحقوق المالية والعينية العائدة لمكتب المؤسسات الوطنية.</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(9)</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يلغى كل ما يخالف </w:t>
      </w:r>
      <w:proofErr w:type="gramStart"/>
      <w:r w:rsidRPr="00963215">
        <w:rPr>
          <w:rFonts w:ascii="Simplified Arabic" w:eastAsia="Times New Roman" w:hAnsi="Simplified Arabic" w:cs="Simplified Arabic"/>
          <w:color w:val="252525"/>
          <w:sz w:val="24"/>
          <w:szCs w:val="24"/>
          <w:rtl/>
        </w:rPr>
        <w:t>أحكام</w:t>
      </w:r>
      <w:proofErr w:type="gramEnd"/>
      <w:r w:rsidRPr="00963215">
        <w:rPr>
          <w:rFonts w:ascii="Simplified Arabic" w:eastAsia="Times New Roman" w:hAnsi="Simplified Arabic" w:cs="Simplified Arabic"/>
          <w:color w:val="252525"/>
          <w:sz w:val="24"/>
          <w:szCs w:val="24"/>
          <w:rtl/>
        </w:rPr>
        <w:t xml:space="preserve"> هذا المرسوم.</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مادة (10)</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proofErr w:type="gramStart"/>
      <w:r w:rsidRPr="00963215">
        <w:rPr>
          <w:rFonts w:ascii="Simplified Arabic" w:eastAsia="Times New Roman" w:hAnsi="Simplified Arabic" w:cs="Simplified Arabic"/>
          <w:color w:val="252525"/>
          <w:sz w:val="24"/>
          <w:szCs w:val="24"/>
          <w:rtl/>
        </w:rPr>
        <w:t>على</w:t>
      </w:r>
      <w:proofErr w:type="gramEnd"/>
      <w:r w:rsidRPr="00963215">
        <w:rPr>
          <w:rFonts w:ascii="Simplified Arabic" w:eastAsia="Times New Roman" w:hAnsi="Simplified Arabic" w:cs="Simplified Arabic"/>
          <w:color w:val="252525"/>
          <w:sz w:val="24"/>
          <w:szCs w:val="24"/>
          <w:rtl/>
        </w:rPr>
        <w:t xml:space="preserve"> الجهات كافة، كل فيما يخصه، تنفيذ أحكام هذا المرسوم، ويعمل به من تاريخ صدوره، وينشر في الجريدة الرسمية.</w:t>
      </w:r>
    </w:p>
    <w:p w:rsidR="00963215" w:rsidRPr="00963215" w:rsidRDefault="00963215" w:rsidP="00963215">
      <w:pPr>
        <w:shd w:val="clear" w:color="auto" w:fill="FFFFFF"/>
        <w:bidi/>
        <w:spacing w:before="120" w:after="120" w:line="240" w:lineRule="auto"/>
        <w:ind w:left="360"/>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 xml:space="preserve">صدر في مدينة </w:t>
      </w:r>
      <w:proofErr w:type="gramStart"/>
      <w:r w:rsidRPr="00963215">
        <w:rPr>
          <w:rFonts w:ascii="Simplified Arabic" w:eastAsia="Times New Roman" w:hAnsi="Simplified Arabic" w:cs="Simplified Arabic"/>
          <w:color w:val="252525"/>
          <w:sz w:val="24"/>
          <w:szCs w:val="24"/>
          <w:rtl/>
        </w:rPr>
        <w:t>رام</w:t>
      </w:r>
      <w:proofErr w:type="gramEnd"/>
      <w:r w:rsidRPr="00963215">
        <w:rPr>
          <w:rFonts w:ascii="Simplified Arabic" w:eastAsia="Times New Roman" w:hAnsi="Simplified Arabic" w:cs="Simplified Arabic"/>
          <w:color w:val="252525"/>
          <w:sz w:val="24"/>
          <w:szCs w:val="24"/>
          <w:rtl/>
        </w:rPr>
        <w:t xml:space="preserve"> الله بتاريخ: 25/ 12/ 2012 م</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proofErr w:type="gramStart"/>
      <w:r w:rsidRPr="00963215">
        <w:rPr>
          <w:rFonts w:ascii="Simplified Arabic" w:eastAsia="Times New Roman" w:hAnsi="Simplified Arabic" w:cs="Simplified Arabic"/>
          <w:color w:val="252525"/>
          <w:sz w:val="24"/>
          <w:szCs w:val="24"/>
          <w:rtl/>
        </w:rPr>
        <w:t>محمود</w:t>
      </w:r>
      <w:proofErr w:type="gramEnd"/>
      <w:r w:rsidRPr="00963215">
        <w:rPr>
          <w:rFonts w:ascii="Simplified Arabic" w:eastAsia="Times New Roman" w:hAnsi="Simplified Arabic" w:cs="Simplified Arabic"/>
          <w:color w:val="252525"/>
          <w:sz w:val="24"/>
          <w:szCs w:val="24"/>
          <w:rtl/>
        </w:rPr>
        <w:t xml:space="preserve"> عباس</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رئيس دولة فلسطين</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رئيس اللجنة التنفيذية لمنظمة التحرير الفلسطينية</w:t>
      </w:r>
    </w:p>
    <w:p w:rsidR="00963215" w:rsidRPr="00963215" w:rsidRDefault="00963215" w:rsidP="00963215">
      <w:pPr>
        <w:shd w:val="clear" w:color="auto" w:fill="FFFFFF"/>
        <w:bidi/>
        <w:spacing w:before="120" w:after="120" w:line="240" w:lineRule="auto"/>
        <w:jc w:val="both"/>
        <w:rPr>
          <w:rFonts w:ascii="Simplified Arabic" w:eastAsia="Times New Roman" w:hAnsi="Simplified Arabic" w:cs="Simplified Arabic"/>
          <w:color w:val="252525"/>
          <w:sz w:val="24"/>
          <w:szCs w:val="24"/>
          <w:rtl/>
        </w:rPr>
      </w:pPr>
      <w:r w:rsidRPr="00963215">
        <w:rPr>
          <w:rFonts w:ascii="Simplified Arabic" w:eastAsia="Times New Roman" w:hAnsi="Simplified Arabic" w:cs="Simplified Arabic"/>
          <w:color w:val="252525"/>
          <w:sz w:val="24"/>
          <w:szCs w:val="24"/>
          <w:rtl/>
        </w:rPr>
        <w:t>رئيس السلطة الوطنية الفلسطينية</w:t>
      </w:r>
    </w:p>
    <w:p w:rsidR="00185981" w:rsidRPr="00963215" w:rsidRDefault="00185981" w:rsidP="00963215">
      <w:pPr>
        <w:bidi/>
        <w:spacing w:before="120" w:after="120" w:line="240" w:lineRule="auto"/>
        <w:jc w:val="both"/>
        <w:rPr>
          <w:rFonts w:ascii="Simplified Arabic" w:hAnsi="Simplified Arabic" w:cs="Simplified Arabic"/>
        </w:rPr>
      </w:pPr>
    </w:p>
    <w:sectPr w:rsidR="00185981" w:rsidRPr="00963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15"/>
    <w:rsid w:val="00185981"/>
    <w:rsid w:val="00963215"/>
    <w:rsid w:val="00F81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1921</Characters>
  <Application>Microsoft Office Word</Application>
  <DocSecurity>0</DocSecurity>
  <Lines>51</Lines>
  <Paragraphs>34</Paragraphs>
  <ScaleCrop>false</ScaleCrop>
  <Company>International Center for Not-for-Profit Law (ICNL)</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2013-11-05T13:37:00Z</dcterms:created>
  <dcterms:modified xsi:type="dcterms:W3CDTF">2013-11-05T13:42:00Z</dcterms:modified>
</cp:coreProperties>
</file>